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7B3" w:rsidRDefault="008377B3" w:rsidP="00681F8A">
      <w:pPr>
        <w:spacing w:after="0" w:line="240" w:lineRule="auto"/>
        <w:rPr>
          <w:b/>
        </w:rPr>
      </w:pPr>
    </w:p>
    <w:p w:rsidR="009D3F4C" w:rsidRPr="008377B3" w:rsidRDefault="0054454E" w:rsidP="00681F8A">
      <w:pPr>
        <w:spacing w:after="0" w:line="240" w:lineRule="auto"/>
        <w:rPr>
          <w:b/>
        </w:rPr>
      </w:pPr>
      <w:r>
        <w:rPr>
          <w:b/>
        </w:rPr>
        <w:t xml:space="preserve">Faculty: </w:t>
      </w:r>
      <w:r w:rsidR="003E5AC9" w:rsidRPr="008377B3">
        <w:rPr>
          <w:b/>
        </w:rPr>
        <w:t>Average Salaries:</w:t>
      </w:r>
      <w:r w:rsidR="000E300C">
        <w:rPr>
          <w:b/>
        </w:rPr>
        <w:t xml:space="preserve"> </w:t>
      </w:r>
      <w:r w:rsidR="009D5CC9" w:rsidRPr="008377B3">
        <w:rPr>
          <w:b/>
        </w:rPr>
        <w:t>AAUP</w:t>
      </w:r>
      <w:r>
        <w:rPr>
          <w:b/>
        </w:rPr>
        <w:t xml:space="preserve">; </w:t>
      </w:r>
      <w:r>
        <w:rPr>
          <w:b/>
        </w:rPr>
        <w:t>links</w:t>
      </w:r>
      <w:r>
        <w:rPr>
          <w:b/>
        </w:rPr>
        <w:t xml:space="preserve"> to data below</w:t>
      </w:r>
      <w:r w:rsidR="000E300C">
        <w:rPr>
          <w:b/>
        </w:rPr>
        <w:t>; + national data table</w:t>
      </w:r>
    </w:p>
    <w:p w:rsidR="003E5AC9" w:rsidRDefault="003E5AC9" w:rsidP="00681F8A">
      <w:pPr>
        <w:spacing w:after="0" w:line="240" w:lineRule="auto"/>
      </w:pPr>
    </w:p>
    <w:tbl>
      <w:tblPr>
        <w:tblStyle w:val="TableGrid"/>
        <w:tblW w:w="0" w:type="auto"/>
        <w:tblLook w:val="04A0" w:firstRow="1" w:lastRow="0" w:firstColumn="1" w:lastColumn="0" w:noHBand="0" w:noVBand="1"/>
      </w:tblPr>
      <w:tblGrid>
        <w:gridCol w:w="1197"/>
        <w:gridCol w:w="1105"/>
        <w:gridCol w:w="1063"/>
        <w:gridCol w:w="1306"/>
        <w:gridCol w:w="1106"/>
        <w:gridCol w:w="1052"/>
        <w:gridCol w:w="1469"/>
        <w:gridCol w:w="1052"/>
      </w:tblGrid>
      <w:tr w:rsidR="009D5CC9" w:rsidTr="009D5CC9">
        <w:tc>
          <w:tcPr>
            <w:tcW w:w="1215" w:type="dxa"/>
          </w:tcPr>
          <w:p w:rsidR="009D5CC9" w:rsidRPr="009D5CC9" w:rsidRDefault="009D5CC9" w:rsidP="00681F8A">
            <w:pPr>
              <w:rPr>
                <w:b/>
              </w:rPr>
            </w:pPr>
            <w:r w:rsidRPr="009D5CC9">
              <w:rPr>
                <w:b/>
              </w:rPr>
              <w:t>Rank</w:t>
            </w:r>
          </w:p>
        </w:tc>
        <w:tc>
          <w:tcPr>
            <w:tcW w:w="1135" w:type="dxa"/>
          </w:tcPr>
          <w:p w:rsidR="009D5CC9" w:rsidRPr="009D5CC9" w:rsidRDefault="009D5CC9" w:rsidP="00681F8A">
            <w:pPr>
              <w:rPr>
                <w:b/>
              </w:rPr>
            </w:pPr>
            <w:r w:rsidRPr="009D5CC9">
              <w:rPr>
                <w:b/>
              </w:rPr>
              <w:t>FPU</w:t>
            </w:r>
          </w:p>
        </w:tc>
        <w:tc>
          <w:tcPr>
            <w:tcW w:w="1065" w:type="dxa"/>
          </w:tcPr>
          <w:p w:rsidR="009D5CC9" w:rsidRPr="009D5CC9" w:rsidRDefault="009D5CC9" w:rsidP="00681F8A">
            <w:pPr>
              <w:rPr>
                <w:b/>
              </w:rPr>
            </w:pPr>
            <w:r w:rsidRPr="009D5CC9">
              <w:rPr>
                <w:b/>
              </w:rPr>
              <w:t>KSC</w:t>
            </w:r>
          </w:p>
        </w:tc>
        <w:tc>
          <w:tcPr>
            <w:tcW w:w="1344" w:type="dxa"/>
          </w:tcPr>
          <w:p w:rsidR="009D5CC9" w:rsidRPr="009D5CC9" w:rsidRDefault="009D5CC9" w:rsidP="00681F8A">
            <w:pPr>
              <w:rPr>
                <w:b/>
              </w:rPr>
            </w:pPr>
            <w:r w:rsidRPr="009D5CC9">
              <w:rPr>
                <w:b/>
              </w:rPr>
              <w:t>Plymouth St</w:t>
            </w:r>
          </w:p>
        </w:tc>
        <w:tc>
          <w:tcPr>
            <w:tcW w:w="1136" w:type="dxa"/>
          </w:tcPr>
          <w:p w:rsidR="009D5CC9" w:rsidRPr="009D5CC9" w:rsidRDefault="009D5CC9" w:rsidP="00681F8A">
            <w:pPr>
              <w:rPr>
                <w:b/>
              </w:rPr>
            </w:pPr>
            <w:r w:rsidRPr="009D5CC9">
              <w:rPr>
                <w:b/>
              </w:rPr>
              <w:t>St. Anselm</w:t>
            </w:r>
          </w:p>
        </w:tc>
        <w:tc>
          <w:tcPr>
            <w:tcW w:w="940" w:type="dxa"/>
          </w:tcPr>
          <w:p w:rsidR="009D5CC9" w:rsidRPr="009D5CC9" w:rsidRDefault="009D5CC9" w:rsidP="00681F8A">
            <w:pPr>
              <w:rPr>
                <w:b/>
              </w:rPr>
            </w:pPr>
            <w:r w:rsidRPr="009D5CC9">
              <w:rPr>
                <w:b/>
              </w:rPr>
              <w:t>UNH</w:t>
            </w:r>
          </w:p>
        </w:tc>
        <w:tc>
          <w:tcPr>
            <w:tcW w:w="1516" w:type="dxa"/>
          </w:tcPr>
          <w:p w:rsidR="009D5CC9" w:rsidRPr="005E556F" w:rsidRDefault="009D5CC9" w:rsidP="009D5CC9">
            <w:pPr>
              <w:rPr>
                <w:b/>
              </w:rPr>
            </w:pPr>
            <w:r w:rsidRPr="005E556F">
              <w:rPr>
                <w:b/>
              </w:rPr>
              <w:t xml:space="preserve">Merrimack C </w:t>
            </w:r>
          </w:p>
        </w:tc>
        <w:tc>
          <w:tcPr>
            <w:tcW w:w="999" w:type="dxa"/>
          </w:tcPr>
          <w:p w:rsidR="009D5CC9" w:rsidRPr="005E556F" w:rsidRDefault="009D5CC9" w:rsidP="009D5CC9">
            <w:pPr>
              <w:rPr>
                <w:b/>
              </w:rPr>
            </w:pPr>
            <w:proofErr w:type="spellStart"/>
            <w:r w:rsidRPr="005E556F">
              <w:rPr>
                <w:b/>
              </w:rPr>
              <w:t>Stonehill</w:t>
            </w:r>
            <w:proofErr w:type="spellEnd"/>
          </w:p>
        </w:tc>
      </w:tr>
      <w:tr w:rsidR="009D5CC9" w:rsidTr="009D5CC9">
        <w:tc>
          <w:tcPr>
            <w:tcW w:w="1215" w:type="dxa"/>
          </w:tcPr>
          <w:p w:rsidR="009D5CC9" w:rsidRDefault="009D5CC9" w:rsidP="00681F8A">
            <w:r>
              <w:t>Professor</w:t>
            </w:r>
          </w:p>
        </w:tc>
        <w:tc>
          <w:tcPr>
            <w:tcW w:w="1135" w:type="dxa"/>
          </w:tcPr>
          <w:p w:rsidR="009D5CC9" w:rsidRDefault="009D5CC9" w:rsidP="00681F8A">
            <w:r>
              <w:t>$77,200</w:t>
            </w:r>
          </w:p>
        </w:tc>
        <w:tc>
          <w:tcPr>
            <w:tcW w:w="1065" w:type="dxa"/>
          </w:tcPr>
          <w:p w:rsidR="009D5CC9" w:rsidRDefault="009D5CC9" w:rsidP="00681F8A">
            <w:r>
              <w:t>$101,400</w:t>
            </w:r>
          </w:p>
        </w:tc>
        <w:tc>
          <w:tcPr>
            <w:tcW w:w="1344" w:type="dxa"/>
          </w:tcPr>
          <w:p w:rsidR="009D5CC9" w:rsidRDefault="009D5CC9" w:rsidP="00681F8A">
            <w:r>
              <w:t>$90,700</w:t>
            </w:r>
          </w:p>
        </w:tc>
        <w:tc>
          <w:tcPr>
            <w:tcW w:w="1136" w:type="dxa"/>
          </w:tcPr>
          <w:p w:rsidR="009D5CC9" w:rsidRDefault="009D5CC9" w:rsidP="00681F8A">
            <w:r>
              <w:t>$94,900</w:t>
            </w:r>
          </w:p>
        </w:tc>
        <w:tc>
          <w:tcPr>
            <w:tcW w:w="940" w:type="dxa"/>
          </w:tcPr>
          <w:p w:rsidR="009D5CC9" w:rsidRDefault="009D5CC9" w:rsidP="00681F8A">
            <w:r>
              <w:t>$130,200</w:t>
            </w:r>
          </w:p>
        </w:tc>
        <w:tc>
          <w:tcPr>
            <w:tcW w:w="1516" w:type="dxa"/>
          </w:tcPr>
          <w:p w:rsidR="009D5CC9" w:rsidRDefault="009D5CC9" w:rsidP="00681F8A">
            <w:r>
              <w:t>$107,500</w:t>
            </w:r>
          </w:p>
        </w:tc>
        <w:tc>
          <w:tcPr>
            <w:tcW w:w="999" w:type="dxa"/>
          </w:tcPr>
          <w:p w:rsidR="009D5CC9" w:rsidRDefault="009D5CC9" w:rsidP="00681F8A">
            <w:r w:rsidRPr="009D5CC9">
              <w:t>$108,300</w:t>
            </w:r>
          </w:p>
        </w:tc>
      </w:tr>
      <w:tr w:rsidR="009D5CC9" w:rsidTr="009D5CC9">
        <w:tc>
          <w:tcPr>
            <w:tcW w:w="1215" w:type="dxa"/>
          </w:tcPr>
          <w:p w:rsidR="009D5CC9" w:rsidRDefault="009D5CC9" w:rsidP="00681F8A">
            <w:proofErr w:type="spellStart"/>
            <w:r>
              <w:t>Assoc</w:t>
            </w:r>
            <w:proofErr w:type="spellEnd"/>
            <w:r>
              <w:t xml:space="preserve"> Prof</w:t>
            </w:r>
          </w:p>
        </w:tc>
        <w:tc>
          <w:tcPr>
            <w:tcW w:w="1135" w:type="dxa"/>
          </w:tcPr>
          <w:p w:rsidR="009D5CC9" w:rsidRDefault="009D5CC9" w:rsidP="00681F8A">
            <w:r>
              <w:t>$65,000</w:t>
            </w:r>
          </w:p>
        </w:tc>
        <w:tc>
          <w:tcPr>
            <w:tcW w:w="1065" w:type="dxa"/>
          </w:tcPr>
          <w:p w:rsidR="009D5CC9" w:rsidRDefault="009D5CC9" w:rsidP="00681F8A">
            <w:r>
              <w:t>$81,900</w:t>
            </w:r>
          </w:p>
        </w:tc>
        <w:tc>
          <w:tcPr>
            <w:tcW w:w="1344" w:type="dxa"/>
          </w:tcPr>
          <w:p w:rsidR="009D5CC9" w:rsidRDefault="009D5CC9" w:rsidP="00681F8A">
            <w:r>
              <w:t>$75,500</w:t>
            </w:r>
          </w:p>
        </w:tc>
        <w:tc>
          <w:tcPr>
            <w:tcW w:w="1136" w:type="dxa"/>
          </w:tcPr>
          <w:p w:rsidR="009D5CC9" w:rsidRDefault="009D5CC9" w:rsidP="00681F8A">
            <w:r>
              <w:t>$78,100</w:t>
            </w:r>
          </w:p>
        </w:tc>
        <w:tc>
          <w:tcPr>
            <w:tcW w:w="940" w:type="dxa"/>
          </w:tcPr>
          <w:p w:rsidR="009D5CC9" w:rsidRDefault="009D5CC9" w:rsidP="00681F8A">
            <w:r>
              <w:t>$102,600</w:t>
            </w:r>
          </w:p>
        </w:tc>
        <w:tc>
          <w:tcPr>
            <w:tcW w:w="1516" w:type="dxa"/>
          </w:tcPr>
          <w:p w:rsidR="009D5CC9" w:rsidRDefault="009D5CC9" w:rsidP="00681F8A">
            <w:r>
              <w:t>$86,500</w:t>
            </w:r>
          </w:p>
        </w:tc>
        <w:tc>
          <w:tcPr>
            <w:tcW w:w="999" w:type="dxa"/>
          </w:tcPr>
          <w:p w:rsidR="009D5CC9" w:rsidRDefault="009D5CC9" w:rsidP="00681F8A">
            <w:r>
              <w:t>$82,500</w:t>
            </w:r>
          </w:p>
        </w:tc>
      </w:tr>
      <w:tr w:rsidR="009D5CC9" w:rsidTr="009D5CC9">
        <w:tc>
          <w:tcPr>
            <w:tcW w:w="1215" w:type="dxa"/>
          </w:tcPr>
          <w:p w:rsidR="009D5CC9" w:rsidRDefault="009D5CC9" w:rsidP="00681F8A">
            <w:r>
              <w:t>Asst. Prof.</w:t>
            </w:r>
          </w:p>
        </w:tc>
        <w:tc>
          <w:tcPr>
            <w:tcW w:w="1135" w:type="dxa"/>
          </w:tcPr>
          <w:p w:rsidR="009D5CC9" w:rsidRDefault="009D5CC9" w:rsidP="00681F8A">
            <w:r>
              <w:t>$63,000</w:t>
            </w:r>
          </w:p>
        </w:tc>
        <w:tc>
          <w:tcPr>
            <w:tcW w:w="1065" w:type="dxa"/>
          </w:tcPr>
          <w:p w:rsidR="009D5CC9" w:rsidRDefault="009D5CC9" w:rsidP="00681F8A">
            <w:r>
              <w:t>$68,200</w:t>
            </w:r>
          </w:p>
        </w:tc>
        <w:tc>
          <w:tcPr>
            <w:tcW w:w="1344" w:type="dxa"/>
          </w:tcPr>
          <w:p w:rsidR="009D5CC9" w:rsidRDefault="009D5CC9" w:rsidP="00681F8A">
            <w:r>
              <w:t>$63,900</w:t>
            </w:r>
          </w:p>
        </w:tc>
        <w:tc>
          <w:tcPr>
            <w:tcW w:w="1136" w:type="dxa"/>
          </w:tcPr>
          <w:p w:rsidR="009D5CC9" w:rsidRDefault="009D5CC9" w:rsidP="00681F8A">
            <w:r>
              <w:t>$62,600</w:t>
            </w:r>
          </w:p>
        </w:tc>
        <w:tc>
          <w:tcPr>
            <w:tcW w:w="940" w:type="dxa"/>
          </w:tcPr>
          <w:p w:rsidR="009D5CC9" w:rsidRDefault="009D5CC9" w:rsidP="00681F8A">
            <w:r>
              <w:t>$87,300</w:t>
            </w:r>
          </w:p>
        </w:tc>
        <w:tc>
          <w:tcPr>
            <w:tcW w:w="1516" w:type="dxa"/>
          </w:tcPr>
          <w:p w:rsidR="009D5CC9" w:rsidRDefault="009D5CC9" w:rsidP="00681F8A">
            <w:r>
              <w:t>$77,000</w:t>
            </w:r>
          </w:p>
        </w:tc>
        <w:tc>
          <w:tcPr>
            <w:tcW w:w="999" w:type="dxa"/>
          </w:tcPr>
          <w:p w:rsidR="009D5CC9" w:rsidRDefault="009D5CC9" w:rsidP="00681F8A">
            <w:r>
              <w:t>$63,100</w:t>
            </w:r>
          </w:p>
        </w:tc>
      </w:tr>
      <w:tr w:rsidR="009D5CC9" w:rsidTr="009D5CC9">
        <w:tc>
          <w:tcPr>
            <w:tcW w:w="1215" w:type="dxa"/>
          </w:tcPr>
          <w:p w:rsidR="009D5CC9" w:rsidRDefault="009D5CC9" w:rsidP="00681F8A">
            <w:r>
              <w:t>Instructor</w:t>
            </w:r>
          </w:p>
        </w:tc>
        <w:tc>
          <w:tcPr>
            <w:tcW w:w="1135" w:type="dxa"/>
          </w:tcPr>
          <w:p w:rsidR="009D5CC9" w:rsidRDefault="009D5CC9" w:rsidP="00681F8A">
            <w:r>
              <w:t>$54,500</w:t>
            </w:r>
          </w:p>
        </w:tc>
        <w:tc>
          <w:tcPr>
            <w:tcW w:w="1065" w:type="dxa"/>
          </w:tcPr>
          <w:p w:rsidR="009D5CC9" w:rsidRDefault="009D5CC9" w:rsidP="00681F8A">
            <w:r>
              <w:t>n/a</w:t>
            </w:r>
          </w:p>
        </w:tc>
        <w:tc>
          <w:tcPr>
            <w:tcW w:w="1344" w:type="dxa"/>
          </w:tcPr>
          <w:p w:rsidR="009D5CC9" w:rsidRDefault="009D5CC9" w:rsidP="00681F8A">
            <w:r>
              <w:t>n/a</w:t>
            </w:r>
          </w:p>
        </w:tc>
        <w:tc>
          <w:tcPr>
            <w:tcW w:w="1136" w:type="dxa"/>
          </w:tcPr>
          <w:p w:rsidR="009D5CC9" w:rsidRDefault="009D5CC9" w:rsidP="00681F8A">
            <w:r>
              <w:t>n/a</w:t>
            </w:r>
          </w:p>
        </w:tc>
        <w:tc>
          <w:tcPr>
            <w:tcW w:w="940" w:type="dxa"/>
          </w:tcPr>
          <w:p w:rsidR="009D5CC9" w:rsidRDefault="009D5CC9" w:rsidP="00681F8A">
            <w:r>
              <w:t>n/a</w:t>
            </w:r>
          </w:p>
        </w:tc>
        <w:tc>
          <w:tcPr>
            <w:tcW w:w="1516" w:type="dxa"/>
          </w:tcPr>
          <w:p w:rsidR="009D5CC9" w:rsidRDefault="009D5CC9" w:rsidP="00681F8A"/>
        </w:tc>
        <w:tc>
          <w:tcPr>
            <w:tcW w:w="999" w:type="dxa"/>
          </w:tcPr>
          <w:p w:rsidR="009D5CC9" w:rsidRDefault="009D5CC9" w:rsidP="00681F8A">
            <w:r>
              <w:t>$50,800</w:t>
            </w:r>
          </w:p>
        </w:tc>
      </w:tr>
    </w:tbl>
    <w:p w:rsidR="003E5AC9" w:rsidRDefault="003E5AC9" w:rsidP="00681F8A">
      <w:pPr>
        <w:spacing w:after="0" w:line="240" w:lineRule="auto"/>
      </w:pPr>
      <w:bookmarkStart w:id="0" w:name="_GoBack"/>
      <w:bookmarkEnd w:id="0"/>
    </w:p>
    <w:p w:rsidR="0054454E" w:rsidRDefault="0054454E" w:rsidP="00681F8A">
      <w:pPr>
        <w:spacing w:after="0" w:line="240" w:lineRule="auto"/>
      </w:pPr>
    </w:p>
    <w:p w:rsidR="0054454E" w:rsidRDefault="0054454E" w:rsidP="00681F8A">
      <w:pPr>
        <w:spacing w:after="0" w:line="240" w:lineRule="auto"/>
        <w:rPr>
          <w:b/>
        </w:rPr>
      </w:pPr>
    </w:p>
    <w:p w:rsidR="0054454E" w:rsidRPr="0054454E" w:rsidRDefault="0054454E" w:rsidP="00681F8A">
      <w:pPr>
        <w:spacing w:after="0" w:line="240" w:lineRule="auto"/>
        <w:rPr>
          <w:b/>
        </w:rPr>
      </w:pPr>
      <w:r w:rsidRPr="0054454E">
        <w:rPr>
          <w:b/>
        </w:rPr>
        <w:t>Floor Salaries</w:t>
      </w:r>
      <w:r>
        <w:rPr>
          <w:b/>
        </w:rPr>
        <w:t xml:space="preserve"> [FPU CBA 2016-19]</w:t>
      </w:r>
    </w:p>
    <w:tbl>
      <w:tblPr>
        <w:tblStyle w:val="TableGrid"/>
        <w:tblW w:w="0" w:type="auto"/>
        <w:tblLook w:val="04A0" w:firstRow="1" w:lastRow="0" w:firstColumn="1" w:lastColumn="0" w:noHBand="0" w:noVBand="1"/>
      </w:tblPr>
      <w:tblGrid>
        <w:gridCol w:w="1345"/>
        <w:gridCol w:w="991"/>
        <w:gridCol w:w="1169"/>
        <w:gridCol w:w="1169"/>
        <w:gridCol w:w="1169"/>
        <w:gridCol w:w="1169"/>
        <w:gridCol w:w="1169"/>
        <w:gridCol w:w="1169"/>
      </w:tblGrid>
      <w:tr w:rsidR="0054454E" w:rsidTr="0064765A">
        <w:tc>
          <w:tcPr>
            <w:tcW w:w="1345" w:type="dxa"/>
          </w:tcPr>
          <w:p w:rsidR="0054454E" w:rsidRDefault="0054454E" w:rsidP="0064765A"/>
        </w:tc>
        <w:tc>
          <w:tcPr>
            <w:tcW w:w="991" w:type="dxa"/>
          </w:tcPr>
          <w:p w:rsidR="0054454E" w:rsidRDefault="0054454E" w:rsidP="0064765A">
            <w:r>
              <w:t>FPU</w:t>
            </w:r>
          </w:p>
        </w:tc>
        <w:tc>
          <w:tcPr>
            <w:tcW w:w="1169" w:type="dxa"/>
          </w:tcPr>
          <w:p w:rsidR="0054454E" w:rsidRDefault="0054454E" w:rsidP="0064765A"/>
        </w:tc>
        <w:tc>
          <w:tcPr>
            <w:tcW w:w="1169" w:type="dxa"/>
          </w:tcPr>
          <w:p w:rsidR="0054454E" w:rsidRDefault="0054454E" w:rsidP="0064765A"/>
        </w:tc>
        <w:tc>
          <w:tcPr>
            <w:tcW w:w="1169" w:type="dxa"/>
          </w:tcPr>
          <w:p w:rsidR="0054454E" w:rsidRDefault="0054454E" w:rsidP="0064765A"/>
        </w:tc>
        <w:tc>
          <w:tcPr>
            <w:tcW w:w="1169" w:type="dxa"/>
          </w:tcPr>
          <w:p w:rsidR="0054454E" w:rsidRDefault="0054454E" w:rsidP="0064765A"/>
        </w:tc>
        <w:tc>
          <w:tcPr>
            <w:tcW w:w="1169" w:type="dxa"/>
          </w:tcPr>
          <w:p w:rsidR="0054454E" w:rsidRDefault="0054454E" w:rsidP="0064765A"/>
        </w:tc>
        <w:tc>
          <w:tcPr>
            <w:tcW w:w="1169" w:type="dxa"/>
          </w:tcPr>
          <w:p w:rsidR="0054454E" w:rsidRDefault="0054454E" w:rsidP="0064765A"/>
        </w:tc>
      </w:tr>
      <w:tr w:rsidR="0054454E" w:rsidTr="0064765A">
        <w:tc>
          <w:tcPr>
            <w:tcW w:w="1345" w:type="dxa"/>
          </w:tcPr>
          <w:p w:rsidR="0054454E" w:rsidRDefault="0054454E" w:rsidP="0064765A">
            <w:r>
              <w:t>Professor</w:t>
            </w:r>
          </w:p>
        </w:tc>
        <w:tc>
          <w:tcPr>
            <w:tcW w:w="991" w:type="dxa"/>
          </w:tcPr>
          <w:p w:rsidR="0054454E" w:rsidRDefault="0054454E" w:rsidP="0064765A">
            <w:r>
              <w:t>$65,000</w:t>
            </w:r>
          </w:p>
        </w:tc>
        <w:tc>
          <w:tcPr>
            <w:tcW w:w="1169" w:type="dxa"/>
          </w:tcPr>
          <w:p w:rsidR="0054454E" w:rsidRDefault="0054454E" w:rsidP="0064765A"/>
        </w:tc>
        <w:tc>
          <w:tcPr>
            <w:tcW w:w="1169" w:type="dxa"/>
          </w:tcPr>
          <w:p w:rsidR="0054454E" w:rsidRDefault="0054454E" w:rsidP="0064765A"/>
        </w:tc>
        <w:tc>
          <w:tcPr>
            <w:tcW w:w="1169" w:type="dxa"/>
          </w:tcPr>
          <w:p w:rsidR="0054454E" w:rsidRDefault="0054454E" w:rsidP="0064765A"/>
        </w:tc>
        <w:tc>
          <w:tcPr>
            <w:tcW w:w="1169" w:type="dxa"/>
          </w:tcPr>
          <w:p w:rsidR="0054454E" w:rsidRDefault="0054454E" w:rsidP="0064765A"/>
        </w:tc>
        <w:tc>
          <w:tcPr>
            <w:tcW w:w="1169" w:type="dxa"/>
          </w:tcPr>
          <w:p w:rsidR="0054454E" w:rsidRDefault="0054454E" w:rsidP="0064765A"/>
        </w:tc>
        <w:tc>
          <w:tcPr>
            <w:tcW w:w="1169" w:type="dxa"/>
          </w:tcPr>
          <w:p w:rsidR="0054454E" w:rsidRDefault="0054454E" w:rsidP="0064765A"/>
        </w:tc>
      </w:tr>
      <w:tr w:rsidR="0054454E" w:rsidTr="0064765A">
        <w:tc>
          <w:tcPr>
            <w:tcW w:w="1345" w:type="dxa"/>
          </w:tcPr>
          <w:p w:rsidR="0054454E" w:rsidRDefault="0054454E" w:rsidP="0064765A">
            <w:r>
              <w:t>Assoc. Prof.</w:t>
            </w:r>
          </w:p>
        </w:tc>
        <w:tc>
          <w:tcPr>
            <w:tcW w:w="991" w:type="dxa"/>
          </w:tcPr>
          <w:p w:rsidR="0054454E" w:rsidRDefault="0054454E" w:rsidP="0064765A">
            <w:r>
              <w:t>$55,000</w:t>
            </w:r>
          </w:p>
        </w:tc>
        <w:tc>
          <w:tcPr>
            <w:tcW w:w="1169" w:type="dxa"/>
          </w:tcPr>
          <w:p w:rsidR="0054454E" w:rsidRDefault="0054454E" w:rsidP="0064765A"/>
        </w:tc>
        <w:tc>
          <w:tcPr>
            <w:tcW w:w="1169" w:type="dxa"/>
          </w:tcPr>
          <w:p w:rsidR="0054454E" w:rsidRDefault="0054454E" w:rsidP="0064765A"/>
        </w:tc>
        <w:tc>
          <w:tcPr>
            <w:tcW w:w="1169" w:type="dxa"/>
          </w:tcPr>
          <w:p w:rsidR="0054454E" w:rsidRDefault="0054454E" w:rsidP="0064765A"/>
        </w:tc>
        <w:tc>
          <w:tcPr>
            <w:tcW w:w="1169" w:type="dxa"/>
          </w:tcPr>
          <w:p w:rsidR="0054454E" w:rsidRDefault="0054454E" w:rsidP="0064765A"/>
        </w:tc>
        <w:tc>
          <w:tcPr>
            <w:tcW w:w="1169" w:type="dxa"/>
          </w:tcPr>
          <w:p w:rsidR="0054454E" w:rsidRDefault="0054454E" w:rsidP="0064765A"/>
        </w:tc>
        <w:tc>
          <w:tcPr>
            <w:tcW w:w="1169" w:type="dxa"/>
          </w:tcPr>
          <w:p w:rsidR="0054454E" w:rsidRDefault="0054454E" w:rsidP="0064765A"/>
        </w:tc>
      </w:tr>
      <w:tr w:rsidR="0054454E" w:rsidTr="0064765A">
        <w:tc>
          <w:tcPr>
            <w:tcW w:w="1345" w:type="dxa"/>
          </w:tcPr>
          <w:p w:rsidR="0054454E" w:rsidRDefault="0054454E" w:rsidP="0064765A">
            <w:r>
              <w:t>Asst. Prof.</w:t>
            </w:r>
          </w:p>
        </w:tc>
        <w:tc>
          <w:tcPr>
            <w:tcW w:w="991" w:type="dxa"/>
          </w:tcPr>
          <w:p w:rsidR="0054454E" w:rsidRDefault="0054454E" w:rsidP="0064765A">
            <w:r>
              <w:t>$47,000</w:t>
            </w:r>
          </w:p>
        </w:tc>
        <w:tc>
          <w:tcPr>
            <w:tcW w:w="1169" w:type="dxa"/>
          </w:tcPr>
          <w:p w:rsidR="0054454E" w:rsidRDefault="0054454E" w:rsidP="0064765A"/>
        </w:tc>
        <w:tc>
          <w:tcPr>
            <w:tcW w:w="1169" w:type="dxa"/>
          </w:tcPr>
          <w:p w:rsidR="0054454E" w:rsidRDefault="0054454E" w:rsidP="0064765A"/>
        </w:tc>
        <w:tc>
          <w:tcPr>
            <w:tcW w:w="1169" w:type="dxa"/>
          </w:tcPr>
          <w:p w:rsidR="0054454E" w:rsidRDefault="0054454E" w:rsidP="0064765A"/>
        </w:tc>
        <w:tc>
          <w:tcPr>
            <w:tcW w:w="1169" w:type="dxa"/>
          </w:tcPr>
          <w:p w:rsidR="0054454E" w:rsidRDefault="0054454E" w:rsidP="0064765A"/>
        </w:tc>
        <w:tc>
          <w:tcPr>
            <w:tcW w:w="1169" w:type="dxa"/>
          </w:tcPr>
          <w:p w:rsidR="0054454E" w:rsidRDefault="0054454E" w:rsidP="0064765A"/>
        </w:tc>
        <w:tc>
          <w:tcPr>
            <w:tcW w:w="1169" w:type="dxa"/>
          </w:tcPr>
          <w:p w:rsidR="0054454E" w:rsidRDefault="0054454E" w:rsidP="0064765A"/>
        </w:tc>
      </w:tr>
      <w:tr w:rsidR="0054454E" w:rsidTr="0064765A">
        <w:tc>
          <w:tcPr>
            <w:tcW w:w="1345" w:type="dxa"/>
          </w:tcPr>
          <w:p w:rsidR="0054454E" w:rsidRDefault="0054454E" w:rsidP="0064765A">
            <w:r>
              <w:t>Instructor</w:t>
            </w:r>
          </w:p>
        </w:tc>
        <w:tc>
          <w:tcPr>
            <w:tcW w:w="991" w:type="dxa"/>
          </w:tcPr>
          <w:p w:rsidR="0054454E" w:rsidRDefault="0054454E" w:rsidP="0064765A">
            <w:r>
              <w:t>$42,000</w:t>
            </w:r>
          </w:p>
        </w:tc>
        <w:tc>
          <w:tcPr>
            <w:tcW w:w="1169" w:type="dxa"/>
          </w:tcPr>
          <w:p w:rsidR="0054454E" w:rsidRDefault="0054454E" w:rsidP="0064765A"/>
        </w:tc>
        <w:tc>
          <w:tcPr>
            <w:tcW w:w="1169" w:type="dxa"/>
          </w:tcPr>
          <w:p w:rsidR="0054454E" w:rsidRDefault="0054454E" w:rsidP="0064765A"/>
        </w:tc>
        <w:tc>
          <w:tcPr>
            <w:tcW w:w="1169" w:type="dxa"/>
          </w:tcPr>
          <w:p w:rsidR="0054454E" w:rsidRDefault="0054454E" w:rsidP="0064765A"/>
        </w:tc>
        <w:tc>
          <w:tcPr>
            <w:tcW w:w="1169" w:type="dxa"/>
          </w:tcPr>
          <w:p w:rsidR="0054454E" w:rsidRDefault="0054454E" w:rsidP="0064765A"/>
        </w:tc>
        <w:tc>
          <w:tcPr>
            <w:tcW w:w="1169" w:type="dxa"/>
          </w:tcPr>
          <w:p w:rsidR="0054454E" w:rsidRDefault="0054454E" w:rsidP="0064765A"/>
        </w:tc>
        <w:tc>
          <w:tcPr>
            <w:tcW w:w="1169" w:type="dxa"/>
          </w:tcPr>
          <w:p w:rsidR="0054454E" w:rsidRDefault="0054454E" w:rsidP="0064765A"/>
        </w:tc>
      </w:tr>
    </w:tbl>
    <w:p w:rsidR="0054454E" w:rsidRDefault="0054454E" w:rsidP="00681F8A">
      <w:pPr>
        <w:spacing w:after="0" w:line="240" w:lineRule="auto"/>
      </w:pPr>
    </w:p>
    <w:p w:rsidR="00E97005" w:rsidRPr="0054454E" w:rsidRDefault="00681F8A" w:rsidP="00681F8A">
      <w:pPr>
        <w:spacing w:after="0" w:line="240" w:lineRule="auto"/>
      </w:pPr>
      <w:r>
        <w:t xml:space="preserve">Faculty Salaries: </w:t>
      </w:r>
      <w:hyperlink r:id="rId4" w:history="1">
        <w:r w:rsidRPr="00DF7E34">
          <w:rPr>
            <w:rStyle w:val="Hyperlink"/>
          </w:rPr>
          <w:t>http://eraven.franklinpierce.edu/s/dept/hr/2ndHR/RFF/2016-19CBA.pdf</w:t>
        </w:r>
      </w:hyperlink>
      <w:r w:rsidR="0054454E">
        <w:rPr>
          <w:rStyle w:val="Hyperlink"/>
        </w:rPr>
        <w:t>;</w:t>
      </w:r>
      <w:r w:rsidR="0054454E">
        <w:rPr>
          <w:rStyle w:val="Hyperlink"/>
          <w:u w:val="none"/>
        </w:rPr>
        <w:t xml:space="preserve"> </w:t>
      </w:r>
      <w:r w:rsidR="0054454E" w:rsidRPr="0054454E">
        <w:rPr>
          <w:rStyle w:val="Hyperlink"/>
          <w:i/>
          <w:color w:val="auto"/>
          <w:u w:val="none"/>
        </w:rPr>
        <w:t>CBA</w:t>
      </w:r>
      <w:r w:rsidR="0054454E" w:rsidRPr="0054454E">
        <w:rPr>
          <w:rStyle w:val="Hyperlink"/>
          <w:color w:val="auto"/>
          <w:u w:val="none"/>
        </w:rPr>
        <w:t xml:space="preserve">: </w:t>
      </w:r>
    </w:p>
    <w:p w:rsidR="00681F8A" w:rsidRDefault="00681F8A" w:rsidP="00681F8A">
      <w:pPr>
        <w:spacing w:after="0" w:line="240" w:lineRule="auto"/>
      </w:pPr>
    </w:p>
    <w:p w:rsidR="00681F8A" w:rsidRPr="0054454E" w:rsidRDefault="0054454E" w:rsidP="00681F8A">
      <w:pPr>
        <w:spacing w:after="0" w:line="240" w:lineRule="auto"/>
        <w:rPr>
          <w:b/>
        </w:rPr>
      </w:pPr>
      <w:r>
        <w:rPr>
          <w:b/>
        </w:rPr>
        <w:t>“</w:t>
      </w:r>
      <w:r w:rsidR="00681F8A" w:rsidRPr="0054454E">
        <w:rPr>
          <w:b/>
        </w:rPr>
        <w:t>Year: Raise</w:t>
      </w:r>
      <w:r w:rsidR="003E5AC9" w:rsidRPr="0054454E">
        <w:rPr>
          <w:b/>
        </w:rPr>
        <w:t xml:space="preserve"> Conditional </w:t>
      </w:r>
      <w:r w:rsidR="00681F8A" w:rsidRPr="0054454E">
        <w:rPr>
          <w:b/>
        </w:rPr>
        <w:t>1/1/2016 – 8/31/2016 1%</w:t>
      </w:r>
    </w:p>
    <w:p w:rsidR="00681F8A" w:rsidRDefault="00681F8A" w:rsidP="00681F8A">
      <w:pPr>
        <w:spacing w:after="0" w:line="240" w:lineRule="auto"/>
      </w:pPr>
      <w:r>
        <w:t>9/1/2016 – 8/31/2017 1 1/2%</w:t>
      </w:r>
    </w:p>
    <w:p w:rsidR="00681F8A" w:rsidRDefault="00681F8A" w:rsidP="00681F8A">
      <w:pPr>
        <w:spacing w:after="0" w:line="240" w:lineRule="auto"/>
      </w:pPr>
      <w:r>
        <w:t>9/1/2017 – 8/31/2018 1 1/2%</w:t>
      </w:r>
    </w:p>
    <w:p w:rsidR="00681F8A" w:rsidRDefault="00681F8A" w:rsidP="00681F8A">
      <w:pPr>
        <w:spacing w:after="0" w:line="240" w:lineRule="auto"/>
      </w:pPr>
      <w:r>
        <w:t>9/1/2018 – 8/31/2019 1 1/2%</w:t>
      </w:r>
    </w:p>
    <w:p w:rsidR="00681F8A" w:rsidRDefault="00681F8A" w:rsidP="00681F8A">
      <w:pPr>
        <w:spacing w:after="0" w:line="240" w:lineRule="auto"/>
      </w:pPr>
      <w:r>
        <w:t>20.2.1 The annual increase will not be awarded in the contract year hired.</w:t>
      </w:r>
    </w:p>
    <w:p w:rsidR="00681F8A" w:rsidRDefault="00681F8A" w:rsidP="00681F8A">
      <w:pPr>
        <w:spacing w:after="0" w:line="240" w:lineRule="auto"/>
      </w:pPr>
      <w:r>
        <w:t>20.3 Promoted Faculty shall receive the higher of the new rank floor salary as shown above or the increase for the promotion added to their current salary. The annual percentage increase will then be applied to this amount.</w:t>
      </w:r>
    </w:p>
    <w:p w:rsidR="00681F8A" w:rsidRDefault="00681F8A" w:rsidP="00681F8A">
      <w:pPr>
        <w:spacing w:after="0" w:line="240" w:lineRule="auto"/>
      </w:pPr>
      <w:r>
        <w:t>20.3.1 Increases for promotion in rank:</w:t>
      </w:r>
      <w:r w:rsidR="003E5AC9">
        <w:t xml:space="preserve"> </w:t>
      </w:r>
      <w:r>
        <w:t>Promotion Increase</w:t>
      </w:r>
    </w:p>
    <w:p w:rsidR="00681F8A" w:rsidRDefault="00681F8A" w:rsidP="00681F8A">
      <w:pPr>
        <w:spacing w:after="0" w:line="240" w:lineRule="auto"/>
      </w:pPr>
      <w:r>
        <w:t>Instructor to Assistant Professor $1,500</w:t>
      </w:r>
    </w:p>
    <w:p w:rsidR="00681F8A" w:rsidRDefault="00681F8A" w:rsidP="00681F8A">
      <w:pPr>
        <w:spacing w:after="0" w:line="240" w:lineRule="auto"/>
      </w:pPr>
      <w:r>
        <w:t>Assistant Professor to Associate Professor $1,850</w:t>
      </w:r>
    </w:p>
    <w:p w:rsidR="00681F8A" w:rsidRDefault="00681F8A" w:rsidP="00681F8A">
      <w:pPr>
        <w:spacing w:after="0" w:line="240" w:lineRule="auto"/>
      </w:pPr>
      <w:r>
        <w:t>Associate Professor to Professor $2,250</w:t>
      </w:r>
    </w:p>
    <w:p w:rsidR="006C1B40" w:rsidRDefault="006C1B40">
      <w:r>
        <w:t>________________________________________________________________________</w:t>
      </w:r>
    </w:p>
    <w:p w:rsidR="006C1B40" w:rsidRDefault="006C1B40">
      <w:r>
        <w:rPr>
          <w:noProof/>
        </w:rPr>
        <w:drawing>
          <wp:inline distT="0" distB="0" distL="0" distR="0" wp14:anchorId="5BFE9E82" wp14:editId="3549A63D">
            <wp:extent cx="1314450" cy="696344"/>
            <wp:effectExtent l="0" t="0" r="0" b="8890"/>
            <wp:docPr id="1" name="Picture 1" descr="AA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090" cy="758135"/>
                    </a:xfrm>
                    <a:prstGeom prst="rect">
                      <a:avLst/>
                    </a:prstGeom>
                    <a:noFill/>
                    <a:ln>
                      <a:noFill/>
                    </a:ln>
                  </pic:spPr>
                </pic:pic>
              </a:graphicData>
            </a:graphic>
          </wp:inline>
        </w:drawing>
      </w:r>
    </w:p>
    <w:p w:rsidR="006C1B40" w:rsidRPr="006C1B40" w:rsidRDefault="006C1B40" w:rsidP="006C1B40">
      <w:pPr>
        <w:rPr>
          <w:b/>
          <w:bCs/>
        </w:rPr>
      </w:pPr>
      <w:r w:rsidRPr="006C1B40">
        <w:rPr>
          <w:b/>
          <w:bCs/>
        </w:rPr>
        <w:t>2016-17 AAUP Faculty Compensation Survey</w:t>
      </w:r>
    </w:p>
    <w:p w:rsidR="006C1B40" w:rsidRDefault="006C1B40">
      <w:r w:rsidRPr="006C1B40">
        <w:t>The annual AAUP Faculty Compensation Survey is the largest independent source of data on full-time faculty salary and benefits at two- and four-year colleges and universities in the United States. The 2017 iteration of the survey includes information on salary and benefits for more than 380,000 faculty members from 1,022 institutions in all 50 states and Puerto Rico. The survey, along with the accompanying "Annual Report on the Economic Status of the Profession," is published each year in the March–April issue of </w:t>
      </w:r>
      <w:r w:rsidRPr="006C1B40">
        <w:rPr>
          <w:i/>
          <w:iCs/>
        </w:rPr>
        <w:t>Academe,</w:t>
      </w:r>
      <w:r w:rsidRPr="006C1B40">
        <w:t> the AAUP's magazine. </w:t>
      </w:r>
      <w:r w:rsidRPr="006C1B40">
        <w:rPr>
          <w:i/>
          <w:iCs/>
        </w:rPr>
        <w:t>Inside Higher Ed</w:t>
      </w:r>
      <w:r w:rsidRPr="006C1B40">
        <w:t> below presents these data in an easily searchable database.</w:t>
      </w:r>
    </w:p>
    <w:p w:rsidR="00204B59" w:rsidRDefault="005E556F">
      <w:hyperlink r:id="rId6" w:history="1">
        <w:r w:rsidR="006C1B40" w:rsidRPr="00DF7E34">
          <w:rPr>
            <w:rStyle w:val="Hyperlink"/>
          </w:rPr>
          <w:t>https://www.insidehighered.com/aaup-compensation-survey/state/new-hampshire-1490</w:t>
        </w:r>
      </w:hyperlink>
    </w:p>
    <w:p w:rsidR="0054454E" w:rsidRPr="0054454E" w:rsidRDefault="005E556F">
      <w:pPr>
        <w:rPr>
          <w:rStyle w:val="Hyperlink"/>
          <w:color w:val="auto"/>
          <w:u w:val="none"/>
        </w:rPr>
      </w:pPr>
      <w:hyperlink r:id="rId7" w:history="1">
        <w:r w:rsidR="006C1B40" w:rsidRPr="00DF7E34">
          <w:rPr>
            <w:rStyle w:val="Hyperlink"/>
          </w:rPr>
          <w:t>https://www</w:t>
        </w:r>
        <w:r w:rsidR="006C1B40" w:rsidRPr="00DF7E34">
          <w:rPr>
            <w:rStyle w:val="Hyperlink"/>
          </w:rPr>
          <w:t>.</w:t>
        </w:r>
        <w:r w:rsidR="006C1B40" w:rsidRPr="00DF7E34">
          <w:rPr>
            <w:rStyle w:val="Hyperlink"/>
          </w:rPr>
          <w:t>insidehighered.com/aaup-compensation-survey/state/massachusetts-1482/state/new-hampshire-1490</w:t>
        </w:r>
      </w:hyperlink>
    </w:p>
    <w:p w:rsidR="0054454E" w:rsidRDefault="0054454E">
      <w:r>
        <w:rPr>
          <w:noProof/>
          <w:color w:val="000000"/>
          <w:sz w:val="21"/>
          <w:szCs w:val="21"/>
        </w:rPr>
        <w:drawing>
          <wp:inline distT="0" distB="0" distL="0" distR="0" wp14:anchorId="131A6EAE" wp14:editId="0D9CA578">
            <wp:extent cx="5078138" cy="6187440"/>
            <wp:effectExtent l="0" t="0" r="8255" b="3810"/>
            <wp:docPr id="2" name="Picture 2" descr="https://www.insidehighered.com/sites/default/server_files/media/Screen%20Shot%202017-04-10%20at%202.01.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nsidehighered.com/sites/default/server_files/media/Screen%20Shot%202017-04-10%20at%202.01.49%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1273" cy="6191260"/>
                    </a:xfrm>
                    <a:prstGeom prst="rect">
                      <a:avLst/>
                    </a:prstGeom>
                    <a:noFill/>
                    <a:ln>
                      <a:noFill/>
                    </a:ln>
                  </pic:spPr>
                </pic:pic>
              </a:graphicData>
            </a:graphic>
          </wp:inline>
        </w:drawing>
      </w:r>
    </w:p>
    <w:p w:rsidR="006C1B40" w:rsidRDefault="005E556F">
      <w:hyperlink r:id="rId9" w:history="1">
        <w:r w:rsidR="006C1B40" w:rsidRPr="00DF7E34">
          <w:rPr>
            <w:rStyle w:val="Hyperlink"/>
          </w:rPr>
          <w:t>https://www.insid</w:t>
        </w:r>
        <w:r w:rsidR="006C1B40" w:rsidRPr="00DF7E34">
          <w:rPr>
            <w:rStyle w:val="Hyperlink"/>
          </w:rPr>
          <w:t>e</w:t>
        </w:r>
        <w:r w:rsidR="006C1B40" w:rsidRPr="00DF7E34">
          <w:rPr>
            <w:rStyle w:val="Hyperlink"/>
          </w:rPr>
          <w:t>highered.com/news/2017/04/11/aaup-faculty-salaries-slightly-budgets-are-balanced-backs-adjuncts-and-out-state</w:t>
        </w:r>
      </w:hyperlink>
    </w:p>
    <w:p w:rsidR="00204B59" w:rsidRDefault="00204B59"/>
    <w:sectPr w:rsidR="00204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8A"/>
    <w:rsid w:val="000E300C"/>
    <w:rsid w:val="00204B59"/>
    <w:rsid w:val="002A440A"/>
    <w:rsid w:val="003E5AC9"/>
    <w:rsid w:val="0054454E"/>
    <w:rsid w:val="005E556F"/>
    <w:rsid w:val="00681F8A"/>
    <w:rsid w:val="006C1B40"/>
    <w:rsid w:val="00791BFC"/>
    <w:rsid w:val="008377B3"/>
    <w:rsid w:val="009D3F4C"/>
    <w:rsid w:val="009D5CC9"/>
    <w:rsid w:val="00A2747B"/>
    <w:rsid w:val="00A719F6"/>
    <w:rsid w:val="00E9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4FF7"/>
  <w15:chartTrackingRefBased/>
  <w15:docId w15:val="{014D70FB-7286-4BD7-94A5-72D8B3CD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F8A"/>
    <w:rPr>
      <w:color w:val="0563C1" w:themeColor="hyperlink"/>
      <w:u w:val="single"/>
    </w:rPr>
  </w:style>
  <w:style w:type="table" w:styleId="TableGrid">
    <w:name w:val="Table Grid"/>
    <w:basedOn w:val="TableNormal"/>
    <w:uiPriority w:val="39"/>
    <w:rsid w:val="009D3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5AC9"/>
    <w:rPr>
      <w:color w:val="954F72" w:themeColor="followedHyperlink"/>
      <w:u w:val="single"/>
    </w:rPr>
  </w:style>
  <w:style w:type="character" w:customStyle="1" w:styleId="salary-label-text2">
    <w:name w:val="salary-label-text2"/>
    <w:basedOn w:val="DefaultParagraphFont"/>
    <w:rsid w:val="009D5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7800">
      <w:bodyDiv w:val="1"/>
      <w:marLeft w:val="0"/>
      <w:marRight w:val="0"/>
      <w:marTop w:val="0"/>
      <w:marBottom w:val="0"/>
      <w:divBdr>
        <w:top w:val="none" w:sz="0" w:space="0" w:color="auto"/>
        <w:left w:val="none" w:sz="0" w:space="0" w:color="auto"/>
        <w:bottom w:val="none" w:sz="0" w:space="0" w:color="auto"/>
        <w:right w:val="none" w:sz="0" w:space="0" w:color="auto"/>
      </w:divBdr>
      <w:divsChild>
        <w:div w:id="65059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insidehighered.com/aaup-compensation-survey/state/massachusetts-1482/state/new-hampshire-14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idehighered.com/aaup-compensation-survey/state/new-hampshire-149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eraven.franklinpierce.edu/s/dept/hr/2ndHR/RFF/2016-19CBA.pdf" TargetMode="External"/><Relationship Id="rId9" Type="http://schemas.openxmlformats.org/officeDocument/2006/relationships/hyperlink" Target="https://www.insidehighered.com/news/2017/04/11/aaup-faculty-salaries-slightly-budgets-are-balanced-backs-adjuncts-and-out-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Kelly</dc:creator>
  <cp:keywords/>
  <dc:description/>
  <cp:lastModifiedBy>Mary Kelly</cp:lastModifiedBy>
  <cp:revision>10</cp:revision>
  <dcterms:created xsi:type="dcterms:W3CDTF">2017-10-16T20:35:00Z</dcterms:created>
  <dcterms:modified xsi:type="dcterms:W3CDTF">2017-10-19T18:44:00Z</dcterms:modified>
</cp:coreProperties>
</file>