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91"/>
        <w:tblW w:w="13135" w:type="dxa"/>
        <w:tblCellMar>
          <w:left w:w="115" w:type="dxa"/>
          <w:right w:w="115" w:type="dxa"/>
        </w:tblCellMar>
        <w:tblLook w:val="04A0" w:firstRow="1" w:lastRow="0" w:firstColumn="1" w:lastColumn="0" w:noHBand="0" w:noVBand="1"/>
      </w:tblPr>
      <w:tblGrid>
        <w:gridCol w:w="1885"/>
        <w:gridCol w:w="1260"/>
        <w:gridCol w:w="1080"/>
        <w:gridCol w:w="4410"/>
        <w:gridCol w:w="4500"/>
      </w:tblGrid>
      <w:tr w:rsidR="00FE1880" w:rsidTr="00FE1880">
        <w:tc>
          <w:tcPr>
            <w:tcW w:w="1885" w:type="dxa"/>
            <w:shd w:val="clear" w:color="auto" w:fill="BDD6EE" w:themeFill="accent1" w:themeFillTint="66"/>
          </w:tcPr>
          <w:p w:rsidR="00FE1880" w:rsidRPr="00716D34" w:rsidRDefault="00FE1880" w:rsidP="00FE1880">
            <w:pPr>
              <w:jc w:val="center"/>
              <w:rPr>
                <w:b/>
                <w:sz w:val="20"/>
                <w:szCs w:val="20"/>
              </w:rPr>
            </w:pPr>
            <w:bookmarkStart w:id="0" w:name="_GoBack"/>
            <w:bookmarkEnd w:id="0"/>
            <w:r w:rsidRPr="00716D34">
              <w:rPr>
                <w:b/>
                <w:sz w:val="20"/>
                <w:szCs w:val="20"/>
              </w:rPr>
              <w:t>Program Name</w:t>
            </w:r>
          </w:p>
          <w:p w:rsidR="00FE1880" w:rsidRPr="00716D34" w:rsidRDefault="00FE1880" w:rsidP="00FE1880">
            <w:pPr>
              <w:jc w:val="center"/>
              <w:rPr>
                <w:b/>
                <w:sz w:val="20"/>
                <w:szCs w:val="20"/>
              </w:rPr>
            </w:pPr>
          </w:p>
        </w:tc>
        <w:tc>
          <w:tcPr>
            <w:tcW w:w="1260" w:type="dxa"/>
            <w:shd w:val="clear" w:color="auto" w:fill="BDD6EE" w:themeFill="accent1" w:themeFillTint="66"/>
          </w:tcPr>
          <w:p w:rsidR="00FE1880" w:rsidRPr="00716D34" w:rsidRDefault="00FE1880" w:rsidP="00FE1880">
            <w:pPr>
              <w:jc w:val="center"/>
              <w:rPr>
                <w:b/>
                <w:sz w:val="20"/>
                <w:szCs w:val="20"/>
              </w:rPr>
            </w:pPr>
            <w:r w:rsidRPr="00716D34">
              <w:rPr>
                <w:b/>
                <w:sz w:val="20"/>
                <w:szCs w:val="20"/>
              </w:rPr>
              <w:t>Searches 2012-2017</w:t>
            </w:r>
          </w:p>
        </w:tc>
        <w:tc>
          <w:tcPr>
            <w:tcW w:w="1080" w:type="dxa"/>
            <w:shd w:val="clear" w:color="auto" w:fill="BDD6EE" w:themeFill="accent1" w:themeFillTint="66"/>
          </w:tcPr>
          <w:p w:rsidR="00FE1880" w:rsidRPr="00716D34" w:rsidRDefault="00FE1880" w:rsidP="00FE1880">
            <w:pPr>
              <w:jc w:val="center"/>
              <w:rPr>
                <w:b/>
                <w:sz w:val="20"/>
                <w:szCs w:val="20"/>
              </w:rPr>
            </w:pPr>
            <w:r w:rsidRPr="00716D34">
              <w:rPr>
                <w:b/>
                <w:sz w:val="20"/>
                <w:szCs w:val="20"/>
              </w:rPr>
              <w:t>Success</w:t>
            </w:r>
          </w:p>
          <w:p w:rsidR="00FE1880" w:rsidRPr="00716D34" w:rsidRDefault="00FE1880" w:rsidP="00FE1880">
            <w:pPr>
              <w:jc w:val="center"/>
              <w:rPr>
                <w:b/>
                <w:sz w:val="20"/>
                <w:szCs w:val="20"/>
              </w:rPr>
            </w:pPr>
            <w:r w:rsidRPr="00716D34">
              <w:rPr>
                <w:b/>
                <w:sz w:val="20"/>
                <w:szCs w:val="20"/>
              </w:rPr>
              <w:t xml:space="preserve"> Rate</w:t>
            </w:r>
          </w:p>
        </w:tc>
        <w:tc>
          <w:tcPr>
            <w:tcW w:w="4410" w:type="dxa"/>
            <w:shd w:val="clear" w:color="auto" w:fill="BDD6EE" w:themeFill="accent1" w:themeFillTint="66"/>
          </w:tcPr>
          <w:p w:rsidR="00FE1880" w:rsidRPr="00716D34" w:rsidRDefault="00FE1880" w:rsidP="00FE1880">
            <w:pPr>
              <w:jc w:val="center"/>
              <w:rPr>
                <w:b/>
                <w:sz w:val="20"/>
                <w:szCs w:val="20"/>
              </w:rPr>
            </w:pPr>
            <w:r w:rsidRPr="00716D34">
              <w:rPr>
                <w:b/>
                <w:sz w:val="20"/>
                <w:szCs w:val="20"/>
              </w:rPr>
              <w:t xml:space="preserve">Faculty Teaching </w:t>
            </w:r>
            <w:r w:rsidRPr="00716D34">
              <w:rPr>
                <w:b/>
                <w:color w:val="FF0000"/>
                <w:sz w:val="20"/>
                <w:szCs w:val="20"/>
              </w:rPr>
              <w:t>Required</w:t>
            </w:r>
            <w:r w:rsidRPr="00716D34">
              <w:rPr>
                <w:b/>
                <w:sz w:val="20"/>
                <w:szCs w:val="20"/>
              </w:rPr>
              <w:t xml:space="preserve"> course for the Major (ft/pt)  2012-2017</w:t>
            </w:r>
          </w:p>
          <w:p w:rsidR="00FE1880" w:rsidRPr="00716D34" w:rsidRDefault="00FE1880" w:rsidP="00FE1880">
            <w:pPr>
              <w:jc w:val="center"/>
              <w:rPr>
                <w:b/>
                <w:sz w:val="20"/>
                <w:szCs w:val="20"/>
              </w:rPr>
            </w:pPr>
          </w:p>
        </w:tc>
        <w:tc>
          <w:tcPr>
            <w:tcW w:w="4500" w:type="dxa"/>
            <w:shd w:val="clear" w:color="auto" w:fill="BDD6EE" w:themeFill="accent1" w:themeFillTint="66"/>
          </w:tcPr>
          <w:p w:rsidR="00FE1880" w:rsidRPr="00716D34" w:rsidRDefault="00FE1880" w:rsidP="00FE1880">
            <w:pPr>
              <w:jc w:val="center"/>
              <w:rPr>
                <w:b/>
                <w:sz w:val="20"/>
                <w:szCs w:val="20"/>
              </w:rPr>
            </w:pPr>
            <w:r w:rsidRPr="00716D34">
              <w:rPr>
                <w:b/>
                <w:sz w:val="20"/>
                <w:szCs w:val="20"/>
              </w:rPr>
              <w:t>Faculty Teaching courses that</w:t>
            </w:r>
            <w:r w:rsidRPr="00716D34">
              <w:rPr>
                <w:b/>
                <w:color w:val="FF0000"/>
                <w:sz w:val="20"/>
                <w:szCs w:val="20"/>
              </w:rPr>
              <w:t xml:space="preserve"> count </w:t>
            </w:r>
            <w:r w:rsidRPr="00716D34">
              <w:rPr>
                <w:b/>
                <w:sz w:val="20"/>
                <w:szCs w:val="20"/>
              </w:rPr>
              <w:t>for the Major (ft/pt)  2012-2017</w:t>
            </w:r>
          </w:p>
        </w:tc>
      </w:tr>
      <w:tr w:rsidR="00FE1880" w:rsidTr="00FE1880">
        <w:tc>
          <w:tcPr>
            <w:tcW w:w="1885" w:type="dxa"/>
          </w:tcPr>
          <w:p w:rsidR="00FE1880" w:rsidRPr="00716D34" w:rsidRDefault="00FE1880" w:rsidP="00FE1880">
            <w:pPr>
              <w:rPr>
                <w:sz w:val="20"/>
                <w:szCs w:val="20"/>
              </w:rPr>
            </w:pPr>
            <w:r w:rsidRPr="00716D34">
              <w:rPr>
                <w:sz w:val="20"/>
                <w:szCs w:val="20"/>
              </w:rPr>
              <w:t>Political Science</w:t>
            </w:r>
          </w:p>
        </w:tc>
        <w:tc>
          <w:tcPr>
            <w:tcW w:w="1260" w:type="dxa"/>
          </w:tcPr>
          <w:p w:rsidR="00FE1880" w:rsidRPr="00716D34" w:rsidRDefault="00FE1880" w:rsidP="00FE1880">
            <w:pPr>
              <w:rPr>
                <w:sz w:val="20"/>
                <w:szCs w:val="20"/>
              </w:rPr>
            </w:pPr>
            <w:r w:rsidRPr="00716D34">
              <w:rPr>
                <w:sz w:val="20"/>
                <w:szCs w:val="20"/>
              </w:rPr>
              <w:t xml:space="preserve"> Two</w:t>
            </w:r>
          </w:p>
        </w:tc>
        <w:tc>
          <w:tcPr>
            <w:tcW w:w="1080" w:type="dxa"/>
          </w:tcPr>
          <w:p w:rsidR="00FE1880" w:rsidRPr="00716D34" w:rsidRDefault="00FE1880" w:rsidP="00FE1880">
            <w:pPr>
              <w:rPr>
                <w:sz w:val="20"/>
                <w:szCs w:val="20"/>
              </w:rPr>
            </w:pPr>
            <w:r w:rsidRPr="00716D34">
              <w:rPr>
                <w:sz w:val="20"/>
                <w:szCs w:val="20"/>
              </w:rPr>
              <w:t>100%</w:t>
            </w:r>
          </w:p>
        </w:tc>
        <w:tc>
          <w:tcPr>
            <w:tcW w:w="4410" w:type="dxa"/>
          </w:tcPr>
          <w:p w:rsidR="00FE1880" w:rsidRPr="00716D34" w:rsidRDefault="00FE1880" w:rsidP="00FE1880">
            <w:pPr>
              <w:rPr>
                <w:sz w:val="20"/>
                <w:szCs w:val="20"/>
              </w:rPr>
            </w:pPr>
            <w:r w:rsidRPr="00716D34">
              <w:rPr>
                <w:sz w:val="20"/>
                <w:szCs w:val="20"/>
              </w:rPr>
              <w:t>(2) F. Cohen, C. Cliff ft</w:t>
            </w:r>
          </w:p>
          <w:p w:rsidR="00FE1880" w:rsidRPr="00716D34" w:rsidRDefault="00FE1880" w:rsidP="00FE1880">
            <w:pPr>
              <w:rPr>
                <w:i/>
                <w:sz w:val="20"/>
                <w:szCs w:val="20"/>
              </w:rPr>
            </w:pPr>
            <w:r w:rsidRPr="00716D34">
              <w:rPr>
                <w:i/>
                <w:sz w:val="20"/>
                <w:szCs w:val="20"/>
              </w:rPr>
              <w:t>(2) R. Marra , P. Jordan ft (no longer faculty)</w:t>
            </w:r>
          </w:p>
        </w:tc>
        <w:tc>
          <w:tcPr>
            <w:tcW w:w="4500" w:type="dxa"/>
          </w:tcPr>
          <w:p w:rsidR="00FE1880" w:rsidRPr="00716D34" w:rsidRDefault="00FE1880" w:rsidP="00FE1880">
            <w:pPr>
              <w:rPr>
                <w:sz w:val="20"/>
                <w:szCs w:val="20"/>
              </w:rPr>
            </w:pPr>
            <w:r w:rsidRPr="00716D34">
              <w:rPr>
                <w:sz w:val="20"/>
                <w:szCs w:val="20"/>
              </w:rPr>
              <w:t>(3) F. Cohen, C. Cliff, J. Brown, K. Nevious ft</w:t>
            </w:r>
          </w:p>
          <w:p w:rsidR="00FE1880" w:rsidRPr="00716D34" w:rsidRDefault="00FE1880" w:rsidP="00FE1880">
            <w:pPr>
              <w:rPr>
                <w:i/>
                <w:sz w:val="20"/>
                <w:szCs w:val="20"/>
              </w:rPr>
            </w:pPr>
            <w:r w:rsidRPr="00716D34">
              <w:rPr>
                <w:i/>
                <w:sz w:val="20"/>
                <w:szCs w:val="20"/>
              </w:rPr>
              <w:t>(2) R. Marra , P. Jordan ft (no longer faculty)</w:t>
            </w:r>
          </w:p>
        </w:tc>
      </w:tr>
      <w:tr w:rsidR="00FE1880" w:rsidRPr="0022292C" w:rsidTr="00FE1880">
        <w:tc>
          <w:tcPr>
            <w:tcW w:w="1885" w:type="dxa"/>
          </w:tcPr>
          <w:p w:rsidR="00FE1880" w:rsidRPr="00716D34" w:rsidRDefault="00FE1880" w:rsidP="00FE1880">
            <w:pPr>
              <w:rPr>
                <w:sz w:val="20"/>
                <w:szCs w:val="20"/>
              </w:rPr>
            </w:pPr>
            <w:r w:rsidRPr="00716D34">
              <w:rPr>
                <w:sz w:val="20"/>
                <w:szCs w:val="20"/>
              </w:rPr>
              <w:t>History+</w:t>
            </w:r>
          </w:p>
        </w:tc>
        <w:tc>
          <w:tcPr>
            <w:tcW w:w="1260" w:type="dxa"/>
          </w:tcPr>
          <w:p w:rsidR="00FE1880" w:rsidRPr="00716D34" w:rsidRDefault="00FE1880" w:rsidP="00FE1880">
            <w:pPr>
              <w:rPr>
                <w:sz w:val="20"/>
                <w:szCs w:val="20"/>
              </w:rPr>
            </w:pPr>
            <w:r w:rsidRPr="00716D34">
              <w:rPr>
                <w:sz w:val="20"/>
                <w:szCs w:val="20"/>
              </w:rPr>
              <w:t xml:space="preserve"> None</w:t>
            </w:r>
          </w:p>
        </w:tc>
        <w:tc>
          <w:tcPr>
            <w:tcW w:w="1080" w:type="dxa"/>
          </w:tcPr>
          <w:p w:rsidR="00FE1880" w:rsidRPr="00716D34" w:rsidRDefault="00FE1880" w:rsidP="00FE1880">
            <w:pPr>
              <w:rPr>
                <w:sz w:val="20"/>
                <w:szCs w:val="20"/>
              </w:rPr>
            </w:pPr>
            <w:r w:rsidRPr="00716D34">
              <w:rPr>
                <w:sz w:val="20"/>
                <w:szCs w:val="20"/>
              </w:rPr>
              <w:t>n/a</w:t>
            </w:r>
          </w:p>
        </w:tc>
        <w:tc>
          <w:tcPr>
            <w:tcW w:w="4410" w:type="dxa"/>
          </w:tcPr>
          <w:p w:rsidR="00FE1880" w:rsidRPr="00716D34" w:rsidRDefault="00FE1880" w:rsidP="00FE1880">
            <w:pPr>
              <w:rPr>
                <w:sz w:val="20"/>
                <w:szCs w:val="20"/>
              </w:rPr>
            </w:pPr>
            <w:r w:rsidRPr="00716D34">
              <w:rPr>
                <w:sz w:val="20"/>
                <w:szCs w:val="20"/>
              </w:rPr>
              <w:t>(3) D. Ley, M. Kelly, M. Jetté  (all ft)</w:t>
            </w:r>
          </w:p>
        </w:tc>
        <w:tc>
          <w:tcPr>
            <w:tcW w:w="4500" w:type="dxa"/>
          </w:tcPr>
          <w:p w:rsidR="00FE1880" w:rsidRPr="00716D34" w:rsidRDefault="00FE1880" w:rsidP="00FE1880">
            <w:pPr>
              <w:rPr>
                <w:sz w:val="20"/>
                <w:szCs w:val="20"/>
              </w:rPr>
            </w:pPr>
            <w:r w:rsidRPr="00716D34">
              <w:rPr>
                <w:sz w:val="20"/>
                <w:szCs w:val="20"/>
              </w:rPr>
              <w:t>(4) D. Ley, M. Kelly, M. Jetté, (all ft)  J. Lund (pt)</w:t>
            </w:r>
          </w:p>
          <w:p w:rsidR="00FE1880" w:rsidRPr="00716D34" w:rsidRDefault="00FE1880" w:rsidP="00FE1880">
            <w:pPr>
              <w:rPr>
                <w:sz w:val="20"/>
                <w:szCs w:val="20"/>
              </w:rPr>
            </w:pPr>
            <w:r w:rsidRPr="00716D34">
              <w:rPr>
                <w:sz w:val="20"/>
                <w:szCs w:val="20"/>
              </w:rPr>
              <w:t>(1) N. Lupinin (no longer faculty)</w:t>
            </w:r>
          </w:p>
        </w:tc>
      </w:tr>
      <w:tr w:rsidR="00FE1880" w:rsidTr="00FE1880">
        <w:tc>
          <w:tcPr>
            <w:tcW w:w="1885" w:type="dxa"/>
          </w:tcPr>
          <w:p w:rsidR="00FE1880" w:rsidRPr="00716D34" w:rsidRDefault="00FE1880" w:rsidP="00FE1880">
            <w:pPr>
              <w:rPr>
                <w:sz w:val="20"/>
                <w:szCs w:val="20"/>
              </w:rPr>
            </w:pPr>
            <w:r w:rsidRPr="00716D34">
              <w:rPr>
                <w:sz w:val="20"/>
                <w:szCs w:val="20"/>
              </w:rPr>
              <w:t>English</w:t>
            </w:r>
          </w:p>
        </w:tc>
        <w:tc>
          <w:tcPr>
            <w:tcW w:w="1260" w:type="dxa"/>
          </w:tcPr>
          <w:p w:rsidR="00FE1880" w:rsidRPr="00716D34" w:rsidRDefault="00FE1880" w:rsidP="00FE1880">
            <w:pPr>
              <w:rPr>
                <w:sz w:val="20"/>
                <w:szCs w:val="20"/>
              </w:rPr>
            </w:pPr>
            <w:r w:rsidRPr="00716D34">
              <w:rPr>
                <w:sz w:val="20"/>
                <w:szCs w:val="20"/>
              </w:rPr>
              <w:t xml:space="preserve"> Two</w:t>
            </w:r>
          </w:p>
        </w:tc>
        <w:tc>
          <w:tcPr>
            <w:tcW w:w="1080" w:type="dxa"/>
          </w:tcPr>
          <w:p w:rsidR="00FE1880" w:rsidRPr="00716D34" w:rsidRDefault="00FE1880" w:rsidP="00FE1880">
            <w:pPr>
              <w:rPr>
                <w:sz w:val="20"/>
                <w:szCs w:val="20"/>
              </w:rPr>
            </w:pPr>
            <w:r w:rsidRPr="00716D34">
              <w:rPr>
                <w:sz w:val="20"/>
                <w:szCs w:val="20"/>
              </w:rPr>
              <w:t>100%*</w:t>
            </w:r>
          </w:p>
        </w:tc>
        <w:tc>
          <w:tcPr>
            <w:tcW w:w="4410" w:type="dxa"/>
          </w:tcPr>
          <w:p w:rsidR="00FE1880" w:rsidRPr="00716D34" w:rsidRDefault="00FE1880" w:rsidP="00FE1880">
            <w:pPr>
              <w:rPr>
                <w:sz w:val="20"/>
                <w:szCs w:val="20"/>
              </w:rPr>
            </w:pPr>
            <w:r w:rsidRPr="00716D34">
              <w:rPr>
                <w:sz w:val="20"/>
                <w:szCs w:val="20"/>
              </w:rPr>
              <w:t>(5) S. Dangelantonio, J. Burns, D. Decker, J. Landis (all ft); P. Bernard (pt)</w:t>
            </w:r>
          </w:p>
          <w:p w:rsidR="00FE1880" w:rsidRPr="00716D34" w:rsidRDefault="00FE1880" w:rsidP="00FE1880">
            <w:pPr>
              <w:rPr>
                <w:i/>
                <w:sz w:val="20"/>
                <w:szCs w:val="20"/>
              </w:rPr>
            </w:pPr>
            <w:r w:rsidRPr="00716D34">
              <w:rPr>
                <w:i/>
                <w:sz w:val="20"/>
                <w:szCs w:val="20"/>
              </w:rPr>
              <w:t>(4) J. Dion, J. Maybury, L. Brown, M. Menting ft, W. Stratton, E. Clark pt (no longer faculty)</w:t>
            </w:r>
          </w:p>
        </w:tc>
        <w:tc>
          <w:tcPr>
            <w:tcW w:w="4500" w:type="dxa"/>
          </w:tcPr>
          <w:p w:rsidR="00FE1880" w:rsidRPr="00716D34" w:rsidRDefault="00FE1880" w:rsidP="00FE1880">
            <w:pPr>
              <w:rPr>
                <w:sz w:val="20"/>
                <w:szCs w:val="20"/>
              </w:rPr>
            </w:pPr>
            <w:r w:rsidRPr="00716D34">
              <w:rPr>
                <w:sz w:val="20"/>
                <w:szCs w:val="20"/>
              </w:rPr>
              <w:t>(7) S. Dangelantonio, J. Burns, D. Decker, J. Landis, A. Schulte (all ft); P. Bernard, M. Douaihy, H. Peterson (all pt)</w:t>
            </w:r>
          </w:p>
          <w:p w:rsidR="00FE1880" w:rsidRPr="00716D34" w:rsidRDefault="00FE1880" w:rsidP="00FE1880">
            <w:pPr>
              <w:rPr>
                <w:i/>
                <w:sz w:val="20"/>
                <w:szCs w:val="20"/>
              </w:rPr>
            </w:pPr>
            <w:r w:rsidRPr="00716D34">
              <w:rPr>
                <w:i/>
                <w:sz w:val="20"/>
                <w:szCs w:val="20"/>
              </w:rPr>
              <w:t>(4) J. Dion, J. Maybury, L. Brown, M. Menting, ft, W. Stratton, E. Clark pt(no longer faculty)</w:t>
            </w:r>
          </w:p>
        </w:tc>
      </w:tr>
      <w:tr w:rsidR="00FE1880" w:rsidTr="00FE1880">
        <w:tc>
          <w:tcPr>
            <w:tcW w:w="1885" w:type="dxa"/>
            <w:shd w:val="clear" w:color="auto" w:fill="auto"/>
          </w:tcPr>
          <w:p w:rsidR="00FE1880" w:rsidRPr="00716D34" w:rsidRDefault="00FE1880" w:rsidP="00FE1880">
            <w:pPr>
              <w:rPr>
                <w:sz w:val="20"/>
                <w:szCs w:val="20"/>
              </w:rPr>
            </w:pPr>
            <w:r w:rsidRPr="00716D34">
              <w:rPr>
                <w:sz w:val="20"/>
                <w:szCs w:val="20"/>
              </w:rPr>
              <w:t>American Studies~</w:t>
            </w:r>
          </w:p>
        </w:tc>
        <w:tc>
          <w:tcPr>
            <w:tcW w:w="1260" w:type="dxa"/>
            <w:shd w:val="clear" w:color="auto" w:fill="auto"/>
          </w:tcPr>
          <w:p w:rsidR="00FE1880" w:rsidRPr="00716D34" w:rsidRDefault="00FE1880" w:rsidP="00FE1880">
            <w:pPr>
              <w:rPr>
                <w:sz w:val="20"/>
                <w:szCs w:val="20"/>
              </w:rPr>
            </w:pPr>
            <w:r w:rsidRPr="00716D34">
              <w:rPr>
                <w:sz w:val="20"/>
                <w:szCs w:val="20"/>
              </w:rPr>
              <w:t>None</w:t>
            </w:r>
          </w:p>
        </w:tc>
        <w:tc>
          <w:tcPr>
            <w:tcW w:w="1080" w:type="dxa"/>
            <w:shd w:val="clear" w:color="auto" w:fill="auto"/>
          </w:tcPr>
          <w:p w:rsidR="00FE1880" w:rsidRPr="00716D34" w:rsidRDefault="00FE1880" w:rsidP="00FE1880">
            <w:pPr>
              <w:rPr>
                <w:sz w:val="20"/>
                <w:szCs w:val="20"/>
              </w:rPr>
            </w:pPr>
            <w:r w:rsidRPr="00716D34">
              <w:rPr>
                <w:sz w:val="20"/>
                <w:szCs w:val="20"/>
              </w:rPr>
              <w:t>n/a</w:t>
            </w:r>
          </w:p>
        </w:tc>
        <w:tc>
          <w:tcPr>
            <w:tcW w:w="4410" w:type="dxa"/>
            <w:shd w:val="clear" w:color="auto" w:fill="auto"/>
          </w:tcPr>
          <w:p w:rsidR="00FE1880" w:rsidRPr="00716D34" w:rsidRDefault="00FE1880" w:rsidP="00FE1880">
            <w:pPr>
              <w:rPr>
                <w:sz w:val="20"/>
                <w:szCs w:val="20"/>
              </w:rPr>
            </w:pPr>
            <w:r w:rsidRPr="00716D34">
              <w:rPr>
                <w:sz w:val="20"/>
                <w:szCs w:val="20"/>
              </w:rPr>
              <w:t>(2)G. Burns ft, J. Harris pt</w:t>
            </w:r>
          </w:p>
          <w:p w:rsidR="00FE1880" w:rsidRPr="00716D34" w:rsidRDefault="00FE1880" w:rsidP="00FE1880">
            <w:pPr>
              <w:rPr>
                <w:sz w:val="20"/>
                <w:szCs w:val="20"/>
              </w:rPr>
            </w:pPr>
            <w:r w:rsidRPr="00716D34">
              <w:rPr>
                <w:sz w:val="20"/>
                <w:szCs w:val="20"/>
              </w:rPr>
              <w:t>(1) J. Doherty adjunct (no longer faculty)</w:t>
            </w:r>
          </w:p>
        </w:tc>
        <w:tc>
          <w:tcPr>
            <w:tcW w:w="4500" w:type="dxa"/>
            <w:shd w:val="clear" w:color="auto" w:fill="auto"/>
          </w:tcPr>
          <w:p w:rsidR="00FE1880" w:rsidRPr="00716D34" w:rsidRDefault="00FE1880" w:rsidP="00FE1880">
            <w:pPr>
              <w:rPr>
                <w:sz w:val="20"/>
                <w:szCs w:val="20"/>
              </w:rPr>
            </w:pPr>
            <w:r w:rsidRPr="00716D34">
              <w:rPr>
                <w:sz w:val="20"/>
                <w:szCs w:val="20"/>
              </w:rPr>
              <w:t>(4) G. Burns, D. Ley ft, J. Harris pt, J. Doherty adjunct  and others from  across a variety of FPU major/minor programs</w:t>
            </w:r>
          </w:p>
        </w:tc>
      </w:tr>
      <w:tr w:rsidR="00716D34" w:rsidTr="00FE1880">
        <w:tc>
          <w:tcPr>
            <w:tcW w:w="1885" w:type="dxa"/>
            <w:shd w:val="clear" w:color="auto" w:fill="BDD6EE" w:themeFill="accent1" w:themeFillTint="66"/>
          </w:tcPr>
          <w:p w:rsidR="00716D34" w:rsidRPr="00716D34" w:rsidRDefault="00716D34" w:rsidP="00FE1880">
            <w:pPr>
              <w:rPr>
                <w:sz w:val="20"/>
                <w:szCs w:val="20"/>
              </w:rPr>
            </w:pPr>
          </w:p>
        </w:tc>
        <w:tc>
          <w:tcPr>
            <w:tcW w:w="1260" w:type="dxa"/>
            <w:shd w:val="clear" w:color="auto" w:fill="BDD6EE" w:themeFill="accent1" w:themeFillTint="66"/>
          </w:tcPr>
          <w:p w:rsidR="00716D34" w:rsidRPr="00716D34" w:rsidRDefault="00716D34" w:rsidP="00FE1880">
            <w:pPr>
              <w:rPr>
                <w:sz w:val="20"/>
                <w:szCs w:val="20"/>
              </w:rPr>
            </w:pPr>
          </w:p>
        </w:tc>
        <w:tc>
          <w:tcPr>
            <w:tcW w:w="1080" w:type="dxa"/>
            <w:shd w:val="clear" w:color="auto" w:fill="BDD6EE" w:themeFill="accent1" w:themeFillTint="66"/>
          </w:tcPr>
          <w:p w:rsidR="00716D34" w:rsidRPr="00716D34" w:rsidRDefault="00716D34" w:rsidP="00FE1880">
            <w:pPr>
              <w:rPr>
                <w:sz w:val="20"/>
                <w:szCs w:val="20"/>
              </w:rPr>
            </w:pPr>
          </w:p>
        </w:tc>
        <w:tc>
          <w:tcPr>
            <w:tcW w:w="4410" w:type="dxa"/>
            <w:shd w:val="clear" w:color="auto" w:fill="BDD6EE" w:themeFill="accent1" w:themeFillTint="66"/>
          </w:tcPr>
          <w:p w:rsidR="00716D34" w:rsidRPr="00716D34" w:rsidRDefault="00716D34" w:rsidP="00FE1880">
            <w:pPr>
              <w:rPr>
                <w:sz w:val="20"/>
                <w:szCs w:val="20"/>
              </w:rPr>
            </w:pPr>
          </w:p>
        </w:tc>
        <w:tc>
          <w:tcPr>
            <w:tcW w:w="4500" w:type="dxa"/>
            <w:shd w:val="clear" w:color="auto" w:fill="BDD6EE" w:themeFill="accent1" w:themeFillTint="66"/>
          </w:tcPr>
          <w:p w:rsidR="00716D34" w:rsidRPr="00716D34" w:rsidRDefault="00716D34" w:rsidP="00FE1880">
            <w:pPr>
              <w:rPr>
                <w:sz w:val="20"/>
                <w:szCs w:val="20"/>
              </w:rPr>
            </w:pPr>
          </w:p>
        </w:tc>
      </w:tr>
      <w:tr w:rsidR="00FE1880" w:rsidTr="00716D34">
        <w:tc>
          <w:tcPr>
            <w:tcW w:w="1885" w:type="dxa"/>
            <w:shd w:val="clear" w:color="auto" w:fill="auto"/>
          </w:tcPr>
          <w:p w:rsidR="00FE1880" w:rsidRPr="00716D34" w:rsidRDefault="00716D34" w:rsidP="00FE1880">
            <w:pPr>
              <w:rPr>
                <w:sz w:val="20"/>
                <w:szCs w:val="20"/>
              </w:rPr>
            </w:pPr>
            <w:r w:rsidRPr="00716D34">
              <w:rPr>
                <w:sz w:val="20"/>
                <w:szCs w:val="20"/>
              </w:rPr>
              <w:t>Public History#</w:t>
            </w:r>
          </w:p>
        </w:tc>
        <w:tc>
          <w:tcPr>
            <w:tcW w:w="1260" w:type="dxa"/>
            <w:shd w:val="clear" w:color="auto" w:fill="auto"/>
          </w:tcPr>
          <w:p w:rsidR="00FE1880" w:rsidRPr="00716D34" w:rsidRDefault="00716D34" w:rsidP="00FE1880">
            <w:pPr>
              <w:rPr>
                <w:sz w:val="20"/>
                <w:szCs w:val="20"/>
              </w:rPr>
            </w:pPr>
            <w:r w:rsidRPr="00716D34">
              <w:rPr>
                <w:sz w:val="20"/>
                <w:szCs w:val="20"/>
              </w:rPr>
              <w:t>None</w:t>
            </w:r>
          </w:p>
        </w:tc>
        <w:tc>
          <w:tcPr>
            <w:tcW w:w="1080" w:type="dxa"/>
            <w:shd w:val="clear" w:color="auto" w:fill="auto"/>
          </w:tcPr>
          <w:p w:rsidR="00FE1880" w:rsidRPr="00716D34" w:rsidRDefault="00716D34" w:rsidP="00FE1880">
            <w:pPr>
              <w:rPr>
                <w:sz w:val="20"/>
                <w:szCs w:val="20"/>
              </w:rPr>
            </w:pPr>
            <w:r w:rsidRPr="00716D34">
              <w:rPr>
                <w:sz w:val="20"/>
                <w:szCs w:val="20"/>
              </w:rPr>
              <w:t>n/a</w:t>
            </w:r>
          </w:p>
        </w:tc>
        <w:tc>
          <w:tcPr>
            <w:tcW w:w="4410" w:type="dxa"/>
            <w:shd w:val="clear" w:color="auto" w:fill="auto"/>
          </w:tcPr>
          <w:p w:rsidR="00FE1880" w:rsidRPr="00716D34" w:rsidRDefault="00716D34" w:rsidP="00FE1880">
            <w:pPr>
              <w:rPr>
                <w:sz w:val="20"/>
                <w:szCs w:val="20"/>
              </w:rPr>
            </w:pPr>
            <w:r w:rsidRPr="00716D34">
              <w:rPr>
                <w:b/>
                <w:sz w:val="20"/>
                <w:szCs w:val="20"/>
              </w:rPr>
              <w:t>Minor</w:t>
            </w:r>
            <w:r w:rsidRPr="00716D34">
              <w:rPr>
                <w:sz w:val="20"/>
                <w:szCs w:val="20"/>
              </w:rPr>
              <w:t>(1) M.  M. Jetté ft</w:t>
            </w:r>
          </w:p>
        </w:tc>
        <w:tc>
          <w:tcPr>
            <w:tcW w:w="4500" w:type="dxa"/>
            <w:shd w:val="clear" w:color="auto" w:fill="auto"/>
          </w:tcPr>
          <w:p w:rsidR="00FE1880" w:rsidRPr="00716D34" w:rsidRDefault="00FE1880" w:rsidP="00FE1880">
            <w:pPr>
              <w:rPr>
                <w:sz w:val="20"/>
                <w:szCs w:val="20"/>
              </w:rPr>
            </w:pPr>
          </w:p>
        </w:tc>
      </w:tr>
      <w:tr w:rsidR="00FE1880" w:rsidTr="00FE1880">
        <w:tc>
          <w:tcPr>
            <w:tcW w:w="1885" w:type="dxa"/>
          </w:tcPr>
          <w:p w:rsidR="00FE1880" w:rsidRPr="00716D34" w:rsidRDefault="00FE1880" w:rsidP="00FE1880">
            <w:pPr>
              <w:rPr>
                <w:sz w:val="20"/>
                <w:szCs w:val="20"/>
              </w:rPr>
            </w:pPr>
            <w:r w:rsidRPr="00716D34">
              <w:rPr>
                <w:sz w:val="20"/>
                <w:szCs w:val="20"/>
              </w:rPr>
              <w:t>Philosophy</w:t>
            </w:r>
          </w:p>
        </w:tc>
        <w:tc>
          <w:tcPr>
            <w:tcW w:w="1260" w:type="dxa"/>
          </w:tcPr>
          <w:p w:rsidR="00FE1880" w:rsidRPr="00716D34" w:rsidRDefault="00FE1880" w:rsidP="00FE1880">
            <w:pPr>
              <w:rPr>
                <w:sz w:val="20"/>
                <w:szCs w:val="20"/>
              </w:rPr>
            </w:pPr>
            <w:r w:rsidRPr="00716D34">
              <w:rPr>
                <w:sz w:val="20"/>
                <w:szCs w:val="20"/>
              </w:rPr>
              <w:t>None</w:t>
            </w:r>
          </w:p>
        </w:tc>
        <w:tc>
          <w:tcPr>
            <w:tcW w:w="1080" w:type="dxa"/>
          </w:tcPr>
          <w:p w:rsidR="00FE1880" w:rsidRPr="00716D34" w:rsidRDefault="00FE1880" w:rsidP="00FE1880">
            <w:pPr>
              <w:rPr>
                <w:sz w:val="20"/>
                <w:szCs w:val="20"/>
              </w:rPr>
            </w:pPr>
            <w:r w:rsidRPr="00716D34">
              <w:rPr>
                <w:sz w:val="20"/>
                <w:szCs w:val="20"/>
              </w:rPr>
              <w:t>n/a</w:t>
            </w:r>
          </w:p>
        </w:tc>
        <w:tc>
          <w:tcPr>
            <w:tcW w:w="4410" w:type="dxa"/>
          </w:tcPr>
          <w:p w:rsidR="00FE1880" w:rsidRPr="00716D34" w:rsidRDefault="00FE1880" w:rsidP="00FE1880">
            <w:pPr>
              <w:rPr>
                <w:sz w:val="20"/>
                <w:szCs w:val="20"/>
              </w:rPr>
            </w:pPr>
            <w:r w:rsidRPr="00716D34">
              <w:rPr>
                <w:b/>
                <w:sz w:val="20"/>
                <w:szCs w:val="20"/>
              </w:rPr>
              <w:t>Minor</w:t>
            </w:r>
            <w:r w:rsidRPr="00716D34">
              <w:rPr>
                <w:sz w:val="20"/>
                <w:szCs w:val="20"/>
              </w:rPr>
              <w:t xml:space="preserve">  (</w:t>
            </w:r>
            <w:r w:rsidR="00716D34" w:rsidRPr="00716D34">
              <w:rPr>
                <w:sz w:val="20"/>
                <w:szCs w:val="20"/>
              </w:rPr>
              <w:t>6</w:t>
            </w:r>
            <w:r w:rsidRPr="00716D34">
              <w:rPr>
                <w:sz w:val="20"/>
                <w:szCs w:val="20"/>
              </w:rPr>
              <w:t xml:space="preserve">) J. Donelan, A. Rachlin </w:t>
            </w:r>
            <w:r w:rsidR="00716D34" w:rsidRPr="00716D34">
              <w:rPr>
                <w:sz w:val="20"/>
                <w:szCs w:val="20"/>
              </w:rPr>
              <w:t xml:space="preserve">F. Cohen ^ </w:t>
            </w:r>
            <w:r w:rsidRPr="00716D34">
              <w:rPr>
                <w:sz w:val="20"/>
                <w:szCs w:val="20"/>
              </w:rPr>
              <w:t xml:space="preserve">ft, </w:t>
            </w:r>
            <w:r w:rsidR="00716D34" w:rsidRPr="00716D34">
              <w:rPr>
                <w:sz w:val="20"/>
                <w:szCs w:val="20"/>
              </w:rPr>
              <w:t xml:space="preserve">M. Barrett, </w:t>
            </w:r>
            <w:r w:rsidRPr="00716D34">
              <w:rPr>
                <w:sz w:val="20"/>
                <w:szCs w:val="20"/>
              </w:rPr>
              <w:t>J. Couch, D. Soucy pt</w:t>
            </w:r>
          </w:p>
          <w:p w:rsidR="00FE1880" w:rsidRPr="00716D34" w:rsidRDefault="00FE1880" w:rsidP="00FE1880">
            <w:pPr>
              <w:rPr>
                <w:i/>
                <w:sz w:val="20"/>
                <w:szCs w:val="20"/>
              </w:rPr>
            </w:pPr>
            <w:r w:rsidRPr="00716D34">
              <w:rPr>
                <w:i/>
                <w:sz w:val="20"/>
                <w:szCs w:val="20"/>
              </w:rPr>
              <w:t>(2)G. Thompson pt, J. Doherty adjunct (no longer faculty)</w:t>
            </w:r>
          </w:p>
        </w:tc>
        <w:tc>
          <w:tcPr>
            <w:tcW w:w="4500" w:type="dxa"/>
          </w:tcPr>
          <w:p w:rsidR="00FE1880" w:rsidRPr="00716D34" w:rsidRDefault="00FE1880" w:rsidP="00FE1880">
            <w:pPr>
              <w:rPr>
                <w:sz w:val="20"/>
                <w:szCs w:val="20"/>
              </w:rPr>
            </w:pPr>
            <w:r w:rsidRPr="00716D34">
              <w:rPr>
                <w:b/>
                <w:sz w:val="20"/>
                <w:szCs w:val="20"/>
              </w:rPr>
              <w:t>Minor</w:t>
            </w:r>
            <w:r w:rsidRPr="00716D34">
              <w:rPr>
                <w:sz w:val="20"/>
                <w:szCs w:val="20"/>
              </w:rPr>
              <w:t xml:space="preserve">  (4) J. Donelan A. Rachlin ft, M. Barrett, J. Couch, D. Soucy pt</w:t>
            </w:r>
          </w:p>
          <w:p w:rsidR="00FE1880" w:rsidRPr="00716D34" w:rsidRDefault="00FE1880" w:rsidP="00FE1880">
            <w:pPr>
              <w:rPr>
                <w:i/>
                <w:sz w:val="20"/>
                <w:szCs w:val="20"/>
              </w:rPr>
            </w:pPr>
            <w:r w:rsidRPr="00716D34">
              <w:rPr>
                <w:i/>
                <w:sz w:val="20"/>
                <w:szCs w:val="20"/>
              </w:rPr>
              <w:t>(2)G. Thompson pt, J. Doherty adjunct (no longer faculty)</w:t>
            </w:r>
          </w:p>
        </w:tc>
      </w:tr>
      <w:tr w:rsidR="00FE1880" w:rsidTr="00FE1880">
        <w:tc>
          <w:tcPr>
            <w:tcW w:w="1885" w:type="dxa"/>
          </w:tcPr>
          <w:p w:rsidR="00FE1880" w:rsidRPr="00716D34" w:rsidRDefault="00FE1880" w:rsidP="00FE1880">
            <w:pPr>
              <w:rPr>
                <w:sz w:val="20"/>
                <w:szCs w:val="20"/>
              </w:rPr>
            </w:pPr>
            <w:r w:rsidRPr="00716D34">
              <w:rPr>
                <w:sz w:val="20"/>
                <w:szCs w:val="20"/>
              </w:rPr>
              <w:t>Spanish</w:t>
            </w:r>
          </w:p>
        </w:tc>
        <w:tc>
          <w:tcPr>
            <w:tcW w:w="1260" w:type="dxa"/>
          </w:tcPr>
          <w:p w:rsidR="00FE1880" w:rsidRPr="00716D34" w:rsidRDefault="00FE1880" w:rsidP="00FE1880">
            <w:pPr>
              <w:rPr>
                <w:sz w:val="20"/>
                <w:szCs w:val="20"/>
              </w:rPr>
            </w:pPr>
            <w:r w:rsidRPr="00716D34">
              <w:rPr>
                <w:sz w:val="20"/>
                <w:szCs w:val="20"/>
              </w:rPr>
              <w:t>None</w:t>
            </w:r>
          </w:p>
        </w:tc>
        <w:tc>
          <w:tcPr>
            <w:tcW w:w="1080" w:type="dxa"/>
          </w:tcPr>
          <w:p w:rsidR="00FE1880" w:rsidRPr="00716D34" w:rsidRDefault="00FE1880" w:rsidP="00FE1880">
            <w:pPr>
              <w:rPr>
                <w:sz w:val="20"/>
                <w:szCs w:val="20"/>
              </w:rPr>
            </w:pPr>
            <w:r w:rsidRPr="00716D34">
              <w:rPr>
                <w:sz w:val="20"/>
                <w:szCs w:val="20"/>
              </w:rPr>
              <w:t>n/a</w:t>
            </w:r>
          </w:p>
        </w:tc>
        <w:tc>
          <w:tcPr>
            <w:tcW w:w="4410" w:type="dxa"/>
          </w:tcPr>
          <w:p w:rsidR="00FE1880" w:rsidRPr="00716D34" w:rsidRDefault="00FE1880" w:rsidP="00FE1880">
            <w:pPr>
              <w:rPr>
                <w:sz w:val="20"/>
                <w:szCs w:val="20"/>
              </w:rPr>
            </w:pPr>
            <w:r w:rsidRPr="00716D34">
              <w:rPr>
                <w:b/>
                <w:sz w:val="20"/>
                <w:szCs w:val="20"/>
              </w:rPr>
              <w:t>Minor</w:t>
            </w:r>
            <w:r w:rsidRPr="00716D34">
              <w:rPr>
                <w:sz w:val="20"/>
                <w:szCs w:val="20"/>
              </w:rPr>
              <w:t xml:space="preserve">  (1) E. Rolon (pt)</w:t>
            </w:r>
          </w:p>
        </w:tc>
        <w:tc>
          <w:tcPr>
            <w:tcW w:w="4500" w:type="dxa"/>
          </w:tcPr>
          <w:p w:rsidR="00FE1880" w:rsidRPr="00716D34" w:rsidRDefault="00FE1880" w:rsidP="00FE1880">
            <w:pPr>
              <w:rPr>
                <w:sz w:val="20"/>
                <w:szCs w:val="20"/>
              </w:rPr>
            </w:pPr>
            <w:r w:rsidRPr="00716D34">
              <w:rPr>
                <w:b/>
                <w:sz w:val="20"/>
                <w:szCs w:val="20"/>
              </w:rPr>
              <w:t>Minor</w:t>
            </w:r>
            <w:r w:rsidRPr="00716D34">
              <w:rPr>
                <w:sz w:val="20"/>
                <w:szCs w:val="20"/>
              </w:rPr>
              <w:t xml:space="preserve">  (1)  E. Rolon</w:t>
            </w:r>
          </w:p>
        </w:tc>
      </w:tr>
      <w:tr w:rsidR="00FE1880" w:rsidTr="00FE1880">
        <w:tc>
          <w:tcPr>
            <w:tcW w:w="1885" w:type="dxa"/>
          </w:tcPr>
          <w:p w:rsidR="00FE1880" w:rsidRPr="00716D34" w:rsidRDefault="00FE1880" w:rsidP="00FE1880">
            <w:pPr>
              <w:rPr>
                <w:sz w:val="20"/>
                <w:szCs w:val="20"/>
              </w:rPr>
            </w:pPr>
            <w:r w:rsidRPr="00716D34">
              <w:rPr>
                <w:sz w:val="20"/>
                <w:szCs w:val="20"/>
              </w:rPr>
              <w:t>Women in Leadership</w:t>
            </w:r>
          </w:p>
        </w:tc>
        <w:tc>
          <w:tcPr>
            <w:tcW w:w="1260" w:type="dxa"/>
          </w:tcPr>
          <w:p w:rsidR="00FE1880" w:rsidRPr="00716D34" w:rsidRDefault="00FE1880" w:rsidP="00FE1880">
            <w:pPr>
              <w:rPr>
                <w:sz w:val="20"/>
                <w:szCs w:val="20"/>
              </w:rPr>
            </w:pPr>
            <w:r w:rsidRPr="00716D34">
              <w:rPr>
                <w:sz w:val="20"/>
                <w:szCs w:val="20"/>
              </w:rPr>
              <w:t>None</w:t>
            </w:r>
          </w:p>
        </w:tc>
        <w:tc>
          <w:tcPr>
            <w:tcW w:w="1080" w:type="dxa"/>
          </w:tcPr>
          <w:p w:rsidR="00FE1880" w:rsidRPr="00716D34" w:rsidRDefault="00FE1880" w:rsidP="00FE1880">
            <w:pPr>
              <w:rPr>
                <w:sz w:val="20"/>
                <w:szCs w:val="20"/>
              </w:rPr>
            </w:pPr>
            <w:r w:rsidRPr="00716D34">
              <w:rPr>
                <w:sz w:val="20"/>
                <w:szCs w:val="20"/>
              </w:rPr>
              <w:t>n/a</w:t>
            </w:r>
          </w:p>
        </w:tc>
        <w:tc>
          <w:tcPr>
            <w:tcW w:w="4410" w:type="dxa"/>
          </w:tcPr>
          <w:p w:rsidR="00FE1880" w:rsidRPr="00716D34" w:rsidRDefault="00FE1880" w:rsidP="00FE1880">
            <w:pPr>
              <w:rPr>
                <w:sz w:val="20"/>
                <w:szCs w:val="20"/>
              </w:rPr>
            </w:pPr>
            <w:r w:rsidRPr="00716D34">
              <w:rPr>
                <w:b/>
                <w:sz w:val="20"/>
                <w:szCs w:val="20"/>
              </w:rPr>
              <w:t>Certificate program</w:t>
            </w:r>
            <w:r w:rsidRPr="00716D34">
              <w:rPr>
                <w:sz w:val="20"/>
                <w:szCs w:val="20"/>
              </w:rPr>
              <w:t xml:space="preserve">  (1) D. Decker ft</w:t>
            </w:r>
          </w:p>
          <w:p w:rsidR="00FE1880" w:rsidRPr="00716D34" w:rsidRDefault="00FE1880" w:rsidP="00FE1880">
            <w:pPr>
              <w:rPr>
                <w:i/>
                <w:sz w:val="20"/>
                <w:szCs w:val="20"/>
              </w:rPr>
            </w:pPr>
            <w:r w:rsidRPr="00716D34">
              <w:rPr>
                <w:i/>
                <w:sz w:val="20"/>
                <w:szCs w:val="20"/>
              </w:rPr>
              <w:t>(1)A. Bergstrom ft (no longer faculty)</w:t>
            </w:r>
          </w:p>
        </w:tc>
        <w:tc>
          <w:tcPr>
            <w:tcW w:w="4500" w:type="dxa"/>
          </w:tcPr>
          <w:p w:rsidR="00FE1880" w:rsidRPr="00716D34" w:rsidRDefault="00FE1880" w:rsidP="00FE1880">
            <w:pPr>
              <w:rPr>
                <w:sz w:val="20"/>
                <w:szCs w:val="20"/>
              </w:rPr>
            </w:pPr>
            <w:r w:rsidRPr="00716D34">
              <w:rPr>
                <w:b/>
                <w:sz w:val="20"/>
                <w:szCs w:val="20"/>
              </w:rPr>
              <w:t>Certificate Program</w:t>
            </w:r>
            <w:r w:rsidRPr="00716D34">
              <w:rPr>
                <w:sz w:val="20"/>
                <w:szCs w:val="20"/>
              </w:rPr>
              <w:t xml:space="preserve">  (varies across a variety of FPU major/minor programs)</w:t>
            </w:r>
          </w:p>
        </w:tc>
      </w:tr>
      <w:tr w:rsidR="00FE1880" w:rsidTr="00FE1880">
        <w:tc>
          <w:tcPr>
            <w:tcW w:w="1885" w:type="dxa"/>
          </w:tcPr>
          <w:p w:rsidR="00FE1880" w:rsidRPr="00716D34" w:rsidRDefault="00FE1880" w:rsidP="00FE1880">
            <w:pPr>
              <w:rPr>
                <w:sz w:val="20"/>
                <w:szCs w:val="20"/>
              </w:rPr>
            </w:pPr>
            <w:r w:rsidRPr="00716D34">
              <w:rPr>
                <w:sz w:val="20"/>
                <w:szCs w:val="20"/>
              </w:rPr>
              <w:t>First Year Composition</w:t>
            </w:r>
          </w:p>
        </w:tc>
        <w:tc>
          <w:tcPr>
            <w:tcW w:w="1260" w:type="dxa"/>
          </w:tcPr>
          <w:p w:rsidR="00FE1880" w:rsidRPr="00716D34" w:rsidRDefault="00716D34" w:rsidP="00FE1880">
            <w:pPr>
              <w:rPr>
                <w:sz w:val="20"/>
                <w:szCs w:val="20"/>
              </w:rPr>
            </w:pPr>
            <w:r w:rsidRPr="00716D34">
              <w:rPr>
                <w:sz w:val="20"/>
                <w:szCs w:val="20"/>
              </w:rPr>
              <w:t>Two</w:t>
            </w:r>
          </w:p>
        </w:tc>
        <w:tc>
          <w:tcPr>
            <w:tcW w:w="1080" w:type="dxa"/>
          </w:tcPr>
          <w:p w:rsidR="00FE1880" w:rsidRPr="00716D34" w:rsidRDefault="00716D34" w:rsidP="00FE1880">
            <w:pPr>
              <w:rPr>
                <w:sz w:val="20"/>
                <w:szCs w:val="20"/>
              </w:rPr>
            </w:pPr>
            <w:r w:rsidRPr="00716D34">
              <w:rPr>
                <w:sz w:val="20"/>
                <w:szCs w:val="20"/>
              </w:rPr>
              <w:t>100%</w:t>
            </w:r>
          </w:p>
        </w:tc>
        <w:tc>
          <w:tcPr>
            <w:tcW w:w="4410" w:type="dxa"/>
          </w:tcPr>
          <w:p w:rsidR="00FE1880" w:rsidRPr="00716D34" w:rsidRDefault="00FE1880" w:rsidP="00FE1880">
            <w:pPr>
              <w:rPr>
                <w:sz w:val="20"/>
                <w:szCs w:val="20"/>
              </w:rPr>
            </w:pPr>
            <w:r w:rsidRPr="00716D34">
              <w:rPr>
                <w:b/>
                <w:sz w:val="20"/>
                <w:szCs w:val="20"/>
              </w:rPr>
              <w:t>No Major</w:t>
            </w:r>
            <w:r w:rsidRPr="00716D34">
              <w:rPr>
                <w:sz w:val="20"/>
                <w:szCs w:val="20"/>
              </w:rPr>
              <w:t xml:space="preserve">  (3 ft) Z. Gonçalves, A. Schulte, J. Landis; assorted pt faculty as needed to fill on average remainder of 25 sections</w:t>
            </w:r>
          </w:p>
          <w:p w:rsidR="00FE1880" w:rsidRPr="00716D34" w:rsidRDefault="00FE1880" w:rsidP="00FE1880">
            <w:pPr>
              <w:rPr>
                <w:i/>
                <w:sz w:val="20"/>
                <w:szCs w:val="20"/>
              </w:rPr>
            </w:pPr>
            <w:r w:rsidRPr="00716D34">
              <w:rPr>
                <w:i/>
                <w:sz w:val="20"/>
                <w:szCs w:val="20"/>
              </w:rPr>
              <w:t>(1)M. Haas ft (no longer faculty)</w:t>
            </w:r>
          </w:p>
        </w:tc>
        <w:tc>
          <w:tcPr>
            <w:tcW w:w="4500" w:type="dxa"/>
          </w:tcPr>
          <w:p w:rsidR="00FE1880" w:rsidRPr="00716D34" w:rsidRDefault="00FE1880" w:rsidP="00FE1880">
            <w:pPr>
              <w:rPr>
                <w:sz w:val="20"/>
                <w:szCs w:val="20"/>
              </w:rPr>
            </w:pPr>
            <w:r w:rsidRPr="00716D34">
              <w:rPr>
                <w:sz w:val="20"/>
                <w:szCs w:val="20"/>
              </w:rPr>
              <w:t>n/a</w:t>
            </w:r>
          </w:p>
        </w:tc>
      </w:tr>
    </w:tbl>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0361C1">
      <w:pPr>
        <w:rPr>
          <w:sz w:val="18"/>
          <w:szCs w:val="18"/>
        </w:rPr>
      </w:pPr>
    </w:p>
    <w:p w:rsidR="00716D34" w:rsidRDefault="00716D34" w:rsidP="00716D34">
      <w:pPr>
        <w:spacing w:after="0" w:line="240" w:lineRule="auto"/>
        <w:rPr>
          <w:sz w:val="18"/>
          <w:szCs w:val="18"/>
        </w:rPr>
      </w:pPr>
    </w:p>
    <w:p w:rsidR="000361C1" w:rsidRPr="00FE1880" w:rsidRDefault="000361C1" w:rsidP="00716D34">
      <w:pPr>
        <w:spacing w:after="0" w:line="240" w:lineRule="auto"/>
        <w:rPr>
          <w:sz w:val="18"/>
          <w:szCs w:val="18"/>
        </w:rPr>
      </w:pPr>
      <w:r w:rsidRPr="00FE1880">
        <w:rPr>
          <w:sz w:val="18"/>
          <w:szCs w:val="18"/>
        </w:rPr>
        <w:t xml:space="preserve">+Over a five year period HS has reconfigured its curriculum to reduce credits, eliminate rarely-taught courses and become less-dependent on part-time faculty, e.g. in AY ’12-’13 N. Lupinin, A. Mann, J. Lund, S. Wilson and S. Pender all taught HS courses or courses that counted in the major. </w:t>
      </w:r>
    </w:p>
    <w:p w:rsidR="0022292C" w:rsidRPr="00FE1880" w:rsidRDefault="0022292C" w:rsidP="00716D34">
      <w:pPr>
        <w:spacing w:after="0" w:line="240" w:lineRule="auto"/>
        <w:rPr>
          <w:sz w:val="18"/>
          <w:szCs w:val="18"/>
        </w:rPr>
      </w:pPr>
      <w:r w:rsidRPr="00FE1880">
        <w:rPr>
          <w:sz w:val="18"/>
          <w:szCs w:val="18"/>
        </w:rPr>
        <w:t xml:space="preserve">*while the search for the </w:t>
      </w:r>
      <w:r w:rsidR="004160B4" w:rsidRPr="00FE1880">
        <w:rPr>
          <w:sz w:val="18"/>
          <w:szCs w:val="18"/>
        </w:rPr>
        <w:t xml:space="preserve">Creative Writing appointments were successful, the first candidate found another position at the end of the 1-year contract and for the second search, thought the </w:t>
      </w:r>
      <w:r w:rsidRPr="00FE1880">
        <w:rPr>
          <w:sz w:val="18"/>
          <w:szCs w:val="18"/>
        </w:rPr>
        <w:t>1-year appointment was successful; the Academic Affairs offices chose to NOT continue the appointment and the full-time line was lost.</w:t>
      </w:r>
    </w:p>
    <w:p w:rsidR="000361C1" w:rsidRDefault="000361C1" w:rsidP="00716D34">
      <w:pPr>
        <w:spacing w:after="0" w:line="240" w:lineRule="auto"/>
        <w:rPr>
          <w:sz w:val="18"/>
          <w:szCs w:val="18"/>
        </w:rPr>
      </w:pPr>
      <w:r w:rsidRPr="00FE1880">
        <w:rPr>
          <w:sz w:val="18"/>
          <w:szCs w:val="18"/>
        </w:rPr>
        <w:t xml:space="preserve">~the Major in American Studies was dropped </w:t>
      </w:r>
      <w:r w:rsidR="00880E4F" w:rsidRPr="00FE1880">
        <w:rPr>
          <w:sz w:val="18"/>
          <w:szCs w:val="18"/>
        </w:rPr>
        <w:t>with the last AS course running in Spring2016</w:t>
      </w:r>
    </w:p>
    <w:p w:rsidR="00716D34" w:rsidRDefault="00716D34" w:rsidP="00716D34">
      <w:pPr>
        <w:spacing w:after="0" w:line="240" w:lineRule="auto"/>
        <w:rPr>
          <w:sz w:val="18"/>
          <w:szCs w:val="18"/>
        </w:rPr>
      </w:pPr>
      <w:r>
        <w:rPr>
          <w:sz w:val="18"/>
          <w:szCs w:val="18"/>
        </w:rPr>
        <w:t>^ F. Cohen teaches Political Theory which is a PA listed course (it can be used by PO majors and minors)</w:t>
      </w:r>
    </w:p>
    <w:p w:rsidR="00716D34" w:rsidRPr="00FE1880" w:rsidRDefault="00716D34">
      <w:pPr>
        <w:rPr>
          <w:sz w:val="18"/>
          <w:szCs w:val="18"/>
        </w:rPr>
      </w:pPr>
      <w:r>
        <w:rPr>
          <w:sz w:val="18"/>
          <w:szCs w:val="18"/>
        </w:rPr>
        <w:t>#</w:t>
      </w:r>
      <w:r w:rsidRPr="00716D34">
        <w:rPr>
          <w:rFonts w:ascii="Calibri" w:hAnsi="Calibri" w:cs="Times New Roman"/>
          <w:color w:val="1F497D"/>
        </w:rPr>
        <w:t xml:space="preserve"> </w:t>
      </w:r>
      <w:r w:rsidRPr="00716D34">
        <w:rPr>
          <w:sz w:val="18"/>
          <w:szCs w:val="18"/>
        </w:rPr>
        <w:t>Prior to 2016 students could Major in History (HS) and Minor in Public History (HP). Only HP 211 Intro to Public History counted for the HS Major.</w:t>
      </w:r>
      <w:r>
        <w:rPr>
          <w:sz w:val="18"/>
          <w:szCs w:val="18"/>
        </w:rPr>
        <w:t xml:space="preserve"> </w:t>
      </w:r>
      <w:r w:rsidRPr="00716D34">
        <w:rPr>
          <w:sz w:val="18"/>
          <w:szCs w:val="18"/>
        </w:rPr>
        <w:t xml:space="preserve">Now students may select the Public History concentration in the HS Major and all Public history courses count for all concentrations except for the Public History internship. The difference is that the Public History concentration </w:t>
      </w:r>
      <w:r w:rsidRPr="00716D34">
        <w:rPr>
          <w:sz w:val="18"/>
          <w:szCs w:val="18"/>
          <w:u w:val="single"/>
        </w:rPr>
        <w:t>requires</w:t>
      </w:r>
      <w:r w:rsidRPr="00716D34">
        <w:rPr>
          <w:sz w:val="18"/>
          <w:szCs w:val="18"/>
        </w:rPr>
        <w:t xml:space="preserve"> Public history courses whereas these would be History electives for the other concentrations.</w:t>
      </w:r>
      <w:r>
        <w:rPr>
          <w:sz w:val="18"/>
          <w:szCs w:val="18"/>
        </w:rPr>
        <w:t xml:space="preserve"> </w:t>
      </w:r>
      <w:r w:rsidRPr="00716D34">
        <w:rPr>
          <w:sz w:val="18"/>
          <w:szCs w:val="18"/>
        </w:rPr>
        <w:t xml:space="preserve">Other majors can complete the Minor in Public History. </w:t>
      </w:r>
    </w:p>
    <w:sectPr w:rsidR="00716D34" w:rsidRPr="00FE1880" w:rsidSect="00716D3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5C" w:rsidRDefault="003C135C" w:rsidP="00A5137D">
      <w:pPr>
        <w:spacing w:after="0" w:line="240" w:lineRule="auto"/>
      </w:pPr>
      <w:r>
        <w:separator/>
      </w:r>
    </w:p>
  </w:endnote>
  <w:endnote w:type="continuationSeparator" w:id="0">
    <w:p w:rsidR="003C135C" w:rsidRDefault="003C135C" w:rsidP="00A5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5C" w:rsidRDefault="003C135C" w:rsidP="00A5137D">
      <w:pPr>
        <w:spacing w:after="0" w:line="240" w:lineRule="auto"/>
      </w:pPr>
      <w:r>
        <w:separator/>
      </w:r>
    </w:p>
  </w:footnote>
  <w:footnote w:type="continuationSeparator" w:id="0">
    <w:p w:rsidR="003C135C" w:rsidRDefault="003C135C" w:rsidP="00A5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80" w:rsidRPr="00FE1880" w:rsidRDefault="00FE1880">
    <w:pPr>
      <w:pStyle w:val="Header"/>
      <w:rPr>
        <w:b/>
        <w:sz w:val="24"/>
        <w:szCs w:val="24"/>
      </w:rPr>
    </w:pPr>
    <w:r w:rsidRPr="00FE1880">
      <w:rPr>
        <w:b/>
        <w:sz w:val="24"/>
        <w:szCs w:val="24"/>
      </w:rPr>
      <w:t>Humanities Programs, 2012-2017</w:t>
    </w:r>
  </w:p>
  <w:p w:rsidR="00A5137D" w:rsidRPr="00FE1880" w:rsidRDefault="00A5137D">
    <w:pPr>
      <w:pStyle w:val="Header"/>
      <w:rPr>
        <w:b/>
        <w:sz w:val="24"/>
        <w:szCs w:val="24"/>
      </w:rPr>
    </w:pPr>
    <w:r w:rsidRPr="00FE1880">
      <w:rPr>
        <w:b/>
        <w:sz w:val="24"/>
        <w:szCs w:val="24"/>
      </w:rPr>
      <w:t>NEASC 6 Information Request for October 2017 (sent by R. Singleton)</w:t>
    </w:r>
  </w:p>
  <w:p w:rsidR="00FE1880" w:rsidRDefault="00FE1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C3338"/>
    <w:multiLevelType w:val="hybridMultilevel"/>
    <w:tmpl w:val="D818B444"/>
    <w:lvl w:ilvl="0" w:tplc="38BE4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6B45"/>
    <w:multiLevelType w:val="hybridMultilevel"/>
    <w:tmpl w:val="2CFC0774"/>
    <w:lvl w:ilvl="0" w:tplc="DF6E1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0AA0"/>
    <w:multiLevelType w:val="hybridMultilevel"/>
    <w:tmpl w:val="FB2442F2"/>
    <w:lvl w:ilvl="0" w:tplc="E3B07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E61FA"/>
    <w:multiLevelType w:val="hybridMultilevel"/>
    <w:tmpl w:val="EE746D3A"/>
    <w:lvl w:ilvl="0" w:tplc="C88EA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7D"/>
    <w:rsid w:val="000361C1"/>
    <w:rsid w:val="001A44CF"/>
    <w:rsid w:val="001B5646"/>
    <w:rsid w:val="0022292C"/>
    <w:rsid w:val="002A020C"/>
    <w:rsid w:val="003C135C"/>
    <w:rsid w:val="004160B4"/>
    <w:rsid w:val="00545F84"/>
    <w:rsid w:val="00716D34"/>
    <w:rsid w:val="00861523"/>
    <w:rsid w:val="00880E4F"/>
    <w:rsid w:val="009B18DE"/>
    <w:rsid w:val="00A5137D"/>
    <w:rsid w:val="00DA493A"/>
    <w:rsid w:val="00E343CE"/>
    <w:rsid w:val="00FE1880"/>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958C7-5344-4F32-BA65-7708CEA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7D"/>
  </w:style>
  <w:style w:type="paragraph" w:styleId="Footer">
    <w:name w:val="footer"/>
    <w:basedOn w:val="Normal"/>
    <w:link w:val="FooterChar"/>
    <w:uiPriority w:val="99"/>
    <w:unhideWhenUsed/>
    <w:rsid w:val="00A5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7D"/>
  </w:style>
  <w:style w:type="paragraph" w:styleId="ListParagraph">
    <w:name w:val="List Paragraph"/>
    <w:basedOn w:val="Normal"/>
    <w:uiPriority w:val="34"/>
    <w:qFormat/>
    <w:rsid w:val="004160B4"/>
    <w:pPr>
      <w:ind w:left="720"/>
      <w:contextualSpacing/>
    </w:pPr>
  </w:style>
  <w:style w:type="paragraph" w:styleId="NoSpacing">
    <w:name w:val="No Spacing"/>
    <w:uiPriority w:val="1"/>
    <w:qFormat/>
    <w:rsid w:val="00036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9970">
      <w:bodyDiv w:val="1"/>
      <w:marLeft w:val="0"/>
      <w:marRight w:val="0"/>
      <w:marTop w:val="0"/>
      <w:marBottom w:val="0"/>
      <w:divBdr>
        <w:top w:val="none" w:sz="0" w:space="0" w:color="auto"/>
        <w:left w:val="none" w:sz="0" w:space="0" w:color="auto"/>
        <w:bottom w:val="none" w:sz="0" w:space="0" w:color="auto"/>
        <w:right w:val="none" w:sz="0" w:space="0" w:color="auto"/>
      </w:divBdr>
    </w:div>
    <w:div w:id="1398242358">
      <w:bodyDiv w:val="1"/>
      <w:marLeft w:val="0"/>
      <w:marRight w:val="0"/>
      <w:marTop w:val="0"/>
      <w:marBottom w:val="0"/>
      <w:divBdr>
        <w:top w:val="none" w:sz="0" w:space="0" w:color="auto"/>
        <w:left w:val="none" w:sz="0" w:space="0" w:color="auto"/>
        <w:bottom w:val="none" w:sz="0" w:space="0" w:color="auto"/>
        <w:right w:val="none" w:sz="0" w:space="0" w:color="auto"/>
      </w:divBdr>
    </w:div>
    <w:div w:id="18647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Dangelantonio</dc:creator>
  <cp:keywords/>
  <dc:description/>
  <cp:lastModifiedBy>Rhine Singleton</cp:lastModifiedBy>
  <cp:revision>2</cp:revision>
  <dcterms:created xsi:type="dcterms:W3CDTF">2017-10-13T19:36:00Z</dcterms:created>
  <dcterms:modified xsi:type="dcterms:W3CDTF">2017-10-13T19:36:00Z</dcterms:modified>
</cp:coreProperties>
</file>